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BF0" w:rsidRPr="00E521E0" w:rsidRDefault="001F7BED" w:rsidP="00E521E0">
      <w:pPr>
        <w:spacing w:after="0" w:line="240" w:lineRule="auto"/>
        <w:rPr>
          <w:sz w:val="16"/>
        </w:rPr>
      </w:pPr>
      <w:bookmarkStart w:id="0" w:name="_GoBack"/>
      <w:bookmarkEnd w:id="0"/>
      <w:r>
        <w:rPr>
          <w:b/>
          <w:noProof/>
          <w:color w:val="262626"/>
          <w:szCs w:val="20"/>
          <w:lang w:val="en-GB" w:eastAsia="en-GB"/>
        </w:rPr>
        <w:drawing>
          <wp:anchor distT="0" distB="0" distL="114300" distR="114300" simplePos="0" relativeHeight="251658240" behindDoc="1" locked="0" layoutInCell="1" allowOverlap="1">
            <wp:simplePos x="0" y="0"/>
            <wp:positionH relativeFrom="page">
              <wp:posOffset>4445</wp:posOffset>
            </wp:positionH>
            <wp:positionV relativeFrom="page">
              <wp:posOffset>-398145</wp:posOffset>
            </wp:positionV>
            <wp:extent cx="7581900" cy="3111500"/>
            <wp:effectExtent l="25400" t="0" r="0" b="0"/>
            <wp:wrapNone/>
            <wp:docPr id="4" name="Picture 2" descr="eac-factsheetrA4-word-bg2-EA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c-factsheetrA4-word-bg2-EAC_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938"/>
                    <a:stretch/>
                  </pic:blipFill>
                  <pic:spPr bwMode="auto">
                    <a:xfrm>
                      <a:off x="0" y="0"/>
                      <a:ext cx="7581900" cy="3111500"/>
                    </a:xfrm>
                    <a:prstGeom prst="rect">
                      <a:avLst/>
                    </a:prstGeom>
                    <a:noFill/>
                    <a:ln>
                      <a:noFill/>
                    </a:ln>
                    <a:extLst>
                      <a:ext uri="{53640926-AAD7-44D8-BBD7-CCE9431645EC}">
                        <a14:shadowObscured xmlns:a14="http://schemas.microsoft.com/office/drawing/2010/main"/>
                      </a:ext>
                    </a:extLst>
                  </pic:spPr>
                </pic:pic>
              </a:graphicData>
            </a:graphic>
          </wp:anchor>
        </w:drawing>
      </w:r>
      <w:r w:rsidR="00A52EC7">
        <w:rPr>
          <w:b/>
          <w:noProof/>
          <w:color w:val="262626"/>
          <w:szCs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7005320</wp:posOffset>
                </wp:positionH>
                <wp:positionV relativeFrom="paragraph">
                  <wp:posOffset>-556260</wp:posOffset>
                </wp:positionV>
                <wp:extent cx="7858125" cy="1009650"/>
                <wp:effectExtent l="0" t="0" r="952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009650"/>
                        </a:xfrm>
                        <a:prstGeom prst="rect">
                          <a:avLst/>
                        </a:prstGeom>
                        <a:solidFill>
                          <a:srgbClr val="F7C9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7DE40" id="Rectangle 6" o:spid="_x0000_s1026" style="position:absolute;margin-left:551.6pt;margin-top:-43.8pt;width:618.7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" fillcolor="#f7c943" stroked="f"/>
            </w:pict>
          </mc:Fallback>
        </mc:AlternateContent>
      </w:r>
    </w:p>
    <w:p w:rsidR="00001072" w:rsidRPr="00E521E0" w:rsidRDefault="00001072" w:rsidP="00E521E0">
      <w:pPr>
        <w:spacing w:after="0" w:line="240" w:lineRule="auto"/>
        <w:rPr>
          <w:sz w:val="16"/>
        </w:rPr>
      </w:pPr>
    </w:p>
    <w:p w:rsidR="00001072" w:rsidRPr="00E521E0" w:rsidRDefault="00001072" w:rsidP="00E521E0">
      <w:pPr>
        <w:spacing w:after="0" w:line="240" w:lineRule="auto"/>
        <w:rPr>
          <w:sz w:val="16"/>
        </w:rPr>
      </w:pPr>
    </w:p>
    <w:p w:rsidR="00001072" w:rsidRPr="00E521E0" w:rsidRDefault="00001072" w:rsidP="00E521E0">
      <w:pPr>
        <w:spacing w:after="0" w:line="240" w:lineRule="auto"/>
        <w:rPr>
          <w:sz w:val="16"/>
        </w:rPr>
      </w:pPr>
    </w:p>
    <w:p w:rsidR="00001072" w:rsidRPr="00E521E0" w:rsidRDefault="00001072" w:rsidP="00E521E0">
      <w:pPr>
        <w:spacing w:after="0" w:line="240" w:lineRule="auto"/>
        <w:rPr>
          <w:sz w:val="16"/>
        </w:rPr>
      </w:pPr>
    </w:p>
    <w:p w:rsidR="001E546E" w:rsidRPr="00E521E0" w:rsidRDefault="00A52EC7" w:rsidP="00E521E0">
      <w:pPr>
        <w:spacing w:after="0" w:line="240" w:lineRule="auto"/>
        <w:rPr>
          <w:sz w:val="16"/>
        </w:rPr>
      </w:pPr>
      <w:r>
        <w:rPr>
          <w:noProof/>
          <w:sz w:val="16"/>
          <w:lang w:val="en-GB" w:eastAsia="en-GB"/>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68580</wp:posOffset>
                </wp:positionV>
                <wp:extent cx="5772150" cy="127889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B48" w:rsidRDefault="00A24B48" w:rsidP="00A66790">
                            <w:pPr>
                              <w:spacing w:after="120"/>
                              <w:rPr>
                                <w:bCs/>
                                <w:color w:val="FFFFFF"/>
                                <w:sz w:val="42"/>
                                <w:szCs w:val="42"/>
                                <w:lang w:val="en-GB"/>
                              </w:rPr>
                            </w:pPr>
                            <w:r w:rsidRPr="00393512">
                              <w:rPr>
                                <w:bCs/>
                                <w:color w:val="FFFFFF"/>
                                <w:sz w:val="42"/>
                                <w:szCs w:val="42"/>
                                <w:lang w:val="en-GB"/>
                              </w:rPr>
                              <w:t>E</w:t>
                            </w:r>
                            <w:r w:rsidR="00A52EC7">
                              <w:rPr>
                                <w:bCs/>
                                <w:color w:val="FFFFFF"/>
                                <w:sz w:val="42"/>
                                <w:szCs w:val="42"/>
                                <w:lang w:val="en-GB"/>
                              </w:rPr>
                              <w:t>rasmus</w:t>
                            </w:r>
                            <w:r>
                              <w:rPr>
                                <w:bCs/>
                                <w:color w:val="FFFFFF"/>
                                <w:sz w:val="42"/>
                                <w:szCs w:val="42"/>
                                <w:lang w:val="en-GB"/>
                              </w:rPr>
                              <w:t>+</w:t>
                            </w:r>
                          </w:p>
                          <w:p w:rsidR="00A24B48" w:rsidRPr="00393512" w:rsidRDefault="00A24B48" w:rsidP="00001072">
                            <w:pPr>
                              <w:rPr>
                                <w:color w:val="FFFFFF"/>
                                <w:sz w:val="42"/>
                                <w:szCs w:val="42"/>
                                <w:lang w:val="en-GB"/>
                              </w:rPr>
                            </w:pPr>
                            <w:r>
                              <w:rPr>
                                <w:bCs/>
                                <w:color w:val="FFFFFF"/>
                                <w:sz w:val="42"/>
                                <w:szCs w:val="42"/>
                                <w:lang w:val="en-GB"/>
                              </w:rPr>
                              <w:t xml:space="preserve">Worldwide opportunities for </w:t>
                            </w:r>
                            <w:r>
                              <w:rPr>
                                <w:bCs/>
                                <w:color w:val="FFFFFF"/>
                                <w:sz w:val="42"/>
                                <w:szCs w:val="42"/>
                                <w:lang w:val="en-GB"/>
                              </w:rPr>
                              <w:br/>
                              <w:t>higher education cooperation</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pt;margin-top:5.4pt;width:454.5pt;height:10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" filled="f" stroked="f">
                <v:textbox inset="0">
                  <w:txbxContent>
                    <w:p w:rsidR="00A24B48" w:rsidRDefault="00A24B48" w:rsidP="00A66790">
                      <w:pPr>
                        <w:spacing w:after="120"/>
                        <w:rPr>
                          <w:bCs/>
                          <w:color w:val="FFFFFF"/>
                          <w:sz w:val="42"/>
                          <w:szCs w:val="42"/>
                          <w:lang w:val="en-GB"/>
                        </w:rPr>
                      </w:pPr>
                      <w:r w:rsidRPr="00393512">
                        <w:rPr>
                          <w:bCs/>
                          <w:color w:val="FFFFFF"/>
                          <w:sz w:val="42"/>
                          <w:szCs w:val="42"/>
                          <w:lang w:val="en-GB"/>
                        </w:rPr>
                        <w:t>E</w:t>
                      </w:r>
                      <w:r w:rsidR="00A52EC7">
                        <w:rPr>
                          <w:bCs/>
                          <w:color w:val="FFFFFF"/>
                          <w:sz w:val="42"/>
                          <w:szCs w:val="42"/>
                          <w:lang w:val="en-GB"/>
                        </w:rPr>
                        <w:t>rasmus</w:t>
                      </w:r>
                      <w:r>
                        <w:rPr>
                          <w:bCs/>
                          <w:color w:val="FFFFFF"/>
                          <w:sz w:val="42"/>
                          <w:szCs w:val="42"/>
                          <w:lang w:val="en-GB"/>
                        </w:rPr>
                        <w:t>+</w:t>
                      </w:r>
                    </w:p>
                    <w:p w:rsidR="00A24B48" w:rsidRPr="00393512" w:rsidRDefault="00A24B48" w:rsidP="00001072">
                      <w:pPr>
                        <w:rPr>
                          <w:color w:val="FFFFFF"/>
                          <w:sz w:val="42"/>
                          <w:szCs w:val="42"/>
                          <w:lang w:val="en-GB"/>
                        </w:rPr>
                      </w:pPr>
                      <w:r>
                        <w:rPr>
                          <w:bCs/>
                          <w:color w:val="FFFFFF"/>
                          <w:sz w:val="42"/>
                          <w:szCs w:val="42"/>
                          <w:lang w:val="en-GB"/>
                        </w:rPr>
                        <w:t xml:space="preserve">Worldwide opportunities for </w:t>
                      </w:r>
                      <w:r>
                        <w:rPr>
                          <w:bCs/>
                          <w:color w:val="FFFFFF"/>
                          <w:sz w:val="42"/>
                          <w:szCs w:val="42"/>
                          <w:lang w:val="en-GB"/>
                        </w:rPr>
                        <w:br/>
                        <w:t>higher education cooperation</w:t>
                      </w:r>
                    </w:p>
                  </w:txbxContent>
                </v:textbox>
              </v:shape>
            </w:pict>
          </mc:Fallback>
        </mc:AlternateContent>
      </w:r>
    </w:p>
    <w:p w:rsidR="001E546E" w:rsidRPr="00E521E0" w:rsidRDefault="001E546E" w:rsidP="00E521E0">
      <w:pPr>
        <w:spacing w:after="0" w:line="240" w:lineRule="auto"/>
        <w:rPr>
          <w:sz w:val="16"/>
        </w:rPr>
      </w:pPr>
    </w:p>
    <w:p w:rsidR="001E546E" w:rsidRPr="00E521E0" w:rsidRDefault="001E546E" w:rsidP="00E521E0">
      <w:pPr>
        <w:spacing w:after="0" w:line="240" w:lineRule="auto"/>
        <w:rPr>
          <w:sz w:val="16"/>
        </w:rPr>
      </w:pPr>
    </w:p>
    <w:p w:rsidR="001E546E" w:rsidRPr="00E521E0" w:rsidRDefault="001E546E" w:rsidP="00E521E0">
      <w:pPr>
        <w:spacing w:after="0" w:line="240" w:lineRule="auto"/>
        <w:rPr>
          <w:sz w:val="16"/>
        </w:rPr>
      </w:pPr>
    </w:p>
    <w:p w:rsidR="001E546E" w:rsidRPr="00E521E0" w:rsidRDefault="001E546E" w:rsidP="00E521E0">
      <w:pPr>
        <w:spacing w:after="0" w:line="240" w:lineRule="auto"/>
        <w:rPr>
          <w:sz w:val="16"/>
        </w:rPr>
      </w:pPr>
    </w:p>
    <w:p w:rsidR="00EA03B5" w:rsidRPr="00E521E0" w:rsidRDefault="00EA03B5" w:rsidP="00E521E0">
      <w:pPr>
        <w:spacing w:after="0" w:line="240" w:lineRule="auto"/>
        <w:rPr>
          <w:sz w:val="16"/>
        </w:rPr>
      </w:pPr>
    </w:p>
    <w:p w:rsidR="008E23FE" w:rsidRDefault="008E23FE" w:rsidP="00E521E0">
      <w:pPr>
        <w:spacing w:after="0" w:line="240" w:lineRule="auto"/>
        <w:rPr>
          <w:sz w:val="16"/>
        </w:rPr>
      </w:pPr>
    </w:p>
    <w:p w:rsidR="008E23FE" w:rsidRDefault="008E23FE" w:rsidP="00E521E0">
      <w:pPr>
        <w:spacing w:after="0" w:line="240" w:lineRule="auto"/>
        <w:rPr>
          <w:sz w:val="16"/>
        </w:rPr>
      </w:pPr>
    </w:p>
    <w:p w:rsidR="008E23FE" w:rsidRDefault="008E23FE" w:rsidP="00E521E0">
      <w:pPr>
        <w:spacing w:after="0" w:line="240" w:lineRule="auto"/>
        <w:rPr>
          <w:sz w:val="16"/>
        </w:rPr>
      </w:pPr>
    </w:p>
    <w:p w:rsidR="008E23FE" w:rsidRDefault="008E23FE" w:rsidP="00E521E0">
      <w:pPr>
        <w:spacing w:after="0" w:line="240" w:lineRule="auto"/>
        <w:rPr>
          <w:sz w:val="16"/>
        </w:rPr>
      </w:pPr>
    </w:p>
    <w:p w:rsidR="008E23FE" w:rsidRDefault="008E23FE" w:rsidP="00E521E0">
      <w:pPr>
        <w:spacing w:after="0" w:line="240" w:lineRule="auto"/>
        <w:rPr>
          <w:sz w:val="16"/>
        </w:rPr>
      </w:pPr>
    </w:p>
    <w:p w:rsidR="008E23FE" w:rsidRDefault="008E23FE" w:rsidP="00E521E0">
      <w:pPr>
        <w:spacing w:after="0" w:line="240" w:lineRule="auto"/>
        <w:rPr>
          <w:sz w:val="16"/>
        </w:rPr>
      </w:pPr>
    </w:p>
    <w:p w:rsidR="008E23FE" w:rsidRDefault="008E23FE" w:rsidP="00E521E0">
      <w:pPr>
        <w:spacing w:after="0" w:line="240" w:lineRule="auto"/>
        <w:rPr>
          <w:sz w:val="16"/>
        </w:rPr>
      </w:pPr>
    </w:p>
    <w:p w:rsidR="008E23FE" w:rsidRDefault="008E23FE" w:rsidP="00E521E0">
      <w:pPr>
        <w:spacing w:after="0" w:line="240" w:lineRule="auto"/>
        <w:rPr>
          <w:sz w:val="16"/>
        </w:rPr>
      </w:pPr>
    </w:p>
    <w:p w:rsidR="00A66790" w:rsidRPr="00E521E0" w:rsidRDefault="001E546E" w:rsidP="00E521E0">
      <w:pPr>
        <w:spacing w:after="0" w:line="240" w:lineRule="auto"/>
        <w:rPr>
          <w:b/>
          <w:sz w:val="20"/>
          <w:lang w:val="en-GB"/>
        </w:rPr>
      </w:pPr>
      <w:r w:rsidRPr="00446F17">
        <w:rPr>
          <w:b/>
          <w:sz w:val="20"/>
          <w:lang w:val="en-GB"/>
        </w:rPr>
        <w:t>E</w:t>
      </w:r>
      <w:r w:rsidR="00A66790" w:rsidRPr="00446F17">
        <w:rPr>
          <w:b/>
          <w:sz w:val="20"/>
          <w:lang w:val="en-GB"/>
        </w:rPr>
        <w:t xml:space="preserve">rasmus+ </w:t>
      </w:r>
      <w:r w:rsidR="00456887" w:rsidRPr="00446F17">
        <w:rPr>
          <w:b/>
          <w:sz w:val="20"/>
          <w:lang w:val="en-GB"/>
        </w:rPr>
        <w:t xml:space="preserve">is the </w:t>
      </w:r>
      <w:r w:rsidR="00BB2A33" w:rsidRPr="00446F17">
        <w:rPr>
          <w:b/>
          <w:sz w:val="20"/>
          <w:lang w:val="en-GB"/>
        </w:rPr>
        <w:t xml:space="preserve">EU's </w:t>
      </w:r>
      <w:r w:rsidR="00456887" w:rsidRPr="00446F17">
        <w:rPr>
          <w:b/>
          <w:sz w:val="20"/>
          <w:lang w:val="en-GB"/>
        </w:rPr>
        <w:t xml:space="preserve">new programme for education, training youth and sport for the period 2014-2020. It </w:t>
      </w:r>
      <w:r w:rsidR="00A66790" w:rsidRPr="00446F17">
        <w:rPr>
          <w:b/>
          <w:sz w:val="20"/>
          <w:lang w:val="en-GB"/>
        </w:rPr>
        <w:t>will offer a number of opportunities for higher education students, researchers, staff and institutions</w:t>
      </w:r>
      <w:r w:rsidR="001F782E" w:rsidRPr="00446F17">
        <w:rPr>
          <w:b/>
          <w:sz w:val="20"/>
          <w:lang w:val="en-GB"/>
        </w:rPr>
        <w:t xml:space="preserve"> from across the world</w:t>
      </w:r>
      <w:r w:rsidR="00A66790" w:rsidRPr="00446F17">
        <w:rPr>
          <w:b/>
          <w:sz w:val="20"/>
          <w:lang w:val="en-GB"/>
        </w:rPr>
        <w:t>. All these opportunities are funded by the European Union.</w:t>
      </w:r>
    </w:p>
    <w:p w:rsidR="008E23FE" w:rsidRPr="00E521E0" w:rsidRDefault="008E23FE" w:rsidP="00E521E0">
      <w:pPr>
        <w:spacing w:after="0" w:line="240" w:lineRule="auto"/>
        <w:rPr>
          <w:b/>
          <w:lang w:val="en-GB"/>
        </w:rPr>
      </w:pPr>
    </w:p>
    <w:p w:rsidR="001E546E" w:rsidRPr="00E521E0" w:rsidRDefault="005F4728" w:rsidP="00E521E0">
      <w:pPr>
        <w:spacing w:after="0" w:line="240" w:lineRule="auto"/>
        <w:rPr>
          <w:b/>
          <w:sz w:val="28"/>
          <w:lang w:val="en-GB"/>
        </w:rPr>
      </w:pPr>
      <w:r>
        <w:rPr>
          <w:b/>
          <w:sz w:val="28"/>
          <w:lang w:val="en-GB"/>
        </w:rPr>
        <w:t>Worldwide</w:t>
      </w:r>
      <w:r w:rsidR="001A5021">
        <w:rPr>
          <w:b/>
          <w:sz w:val="28"/>
          <w:lang w:val="en-GB"/>
        </w:rPr>
        <w:t xml:space="preserve"> o</w:t>
      </w:r>
      <w:r w:rsidR="001E546E" w:rsidRPr="00E521E0">
        <w:rPr>
          <w:b/>
          <w:sz w:val="28"/>
          <w:lang w:val="en-GB"/>
        </w:rPr>
        <w:t>pportunities for higher education institutions</w:t>
      </w:r>
    </w:p>
    <w:p w:rsidR="008E23FE" w:rsidRPr="00E521E0" w:rsidRDefault="008E23FE" w:rsidP="00E521E0">
      <w:pPr>
        <w:spacing w:after="0" w:line="240" w:lineRule="auto"/>
        <w:rPr>
          <w:b/>
          <w:sz w:val="24"/>
          <w:lang w:val="en-GB"/>
        </w:rPr>
      </w:pPr>
    </w:p>
    <w:p w:rsidR="001E546E" w:rsidRPr="008E23FE" w:rsidRDefault="001E546E" w:rsidP="00E521E0">
      <w:pPr>
        <w:spacing w:after="0" w:line="240" w:lineRule="auto"/>
        <w:jc w:val="both"/>
        <w:rPr>
          <w:b/>
          <w:sz w:val="20"/>
          <w:lang w:val="en-GB"/>
        </w:rPr>
      </w:pPr>
      <w:r w:rsidRPr="008E23FE">
        <w:rPr>
          <w:b/>
          <w:sz w:val="20"/>
          <w:lang w:val="en-GB"/>
        </w:rPr>
        <w:t>Joint master degree programmes</w:t>
      </w:r>
    </w:p>
    <w:p w:rsidR="00FF5871" w:rsidRPr="008E23FE" w:rsidRDefault="001E546E" w:rsidP="00E521E0">
      <w:pPr>
        <w:spacing w:after="120" w:line="240" w:lineRule="auto"/>
        <w:jc w:val="both"/>
        <w:rPr>
          <w:lang w:val="en-GB"/>
        </w:rPr>
      </w:pPr>
      <w:r w:rsidRPr="008E23FE">
        <w:rPr>
          <w:lang w:val="en-GB"/>
        </w:rPr>
        <w:t xml:space="preserve">Your university can be part of a consortium of higher education institutions that offers a </w:t>
      </w:r>
      <w:r w:rsidR="00921CA5">
        <w:rPr>
          <w:b/>
          <w:lang w:val="en-GB"/>
        </w:rPr>
        <w:t>J</w:t>
      </w:r>
      <w:r w:rsidRPr="008E23FE">
        <w:rPr>
          <w:b/>
          <w:lang w:val="en-GB"/>
        </w:rPr>
        <w:t>oint Master</w:t>
      </w:r>
      <w:r w:rsidR="00921CA5">
        <w:rPr>
          <w:b/>
          <w:lang w:val="en-GB"/>
        </w:rPr>
        <w:t xml:space="preserve"> D</w:t>
      </w:r>
      <w:r w:rsidRPr="008E23FE">
        <w:rPr>
          <w:b/>
          <w:lang w:val="en-GB"/>
        </w:rPr>
        <w:t xml:space="preserve">egree </w:t>
      </w:r>
      <w:r w:rsidRPr="008E23FE">
        <w:rPr>
          <w:lang w:val="en-GB"/>
        </w:rPr>
        <w:t>programme. These high-level programmes are selected by the European Commission under annual Calls for Proposals. All consortium members design and offer the programme together, and students will study or research in at least two of the institutions. Your institution will therefore be involved in delivering the courses and selecting and hosting the students. The consortium awards a joint or double/multiple degree at the end of the studies. Students apply directly to the consortium, which carries out a competitive selection procedure for EU-funded scholarship places.</w:t>
      </w:r>
    </w:p>
    <w:p w:rsidR="001E546E" w:rsidRPr="00E521E0" w:rsidRDefault="001E546E" w:rsidP="00E521E0">
      <w:pPr>
        <w:numPr>
          <w:ilvl w:val="1"/>
          <w:numId w:val="8"/>
        </w:numPr>
        <w:spacing w:after="0" w:line="240" w:lineRule="auto"/>
        <w:ind w:left="924" w:hanging="357"/>
        <w:jc w:val="both"/>
        <w:rPr>
          <w:i/>
          <w:lang w:val="en-GB"/>
        </w:rPr>
      </w:pPr>
      <w:r w:rsidRPr="008E23FE">
        <w:rPr>
          <w:i/>
          <w:lang w:val="en-GB"/>
        </w:rPr>
        <w:t xml:space="preserve">Institutions from Erasmus+ countries* will be able to submit an application to manage a joint Masters programme under an </w:t>
      </w:r>
      <w:r w:rsidRPr="008E23FE">
        <w:rPr>
          <w:lang w:val="en-GB"/>
        </w:rPr>
        <w:t>Erasmus+</w:t>
      </w:r>
      <w:r w:rsidR="00446F17">
        <w:rPr>
          <w:i/>
          <w:lang w:val="en-GB"/>
        </w:rPr>
        <w:t xml:space="preserve"> Call for Proposals</w:t>
      </w:r>
      <w:r w:rsidRPr="008E23FE">
        <w:rPr>
          <w:i/>
          <w:lang w:val="en-GB"/>
        </w:rPr>
        <w:t>. Higher education institutions from other countries across the world can be partners in the consortium.</w:t>
      </w:r>
    </w:p>
    <w:p w:rsidR="008E23FE" w:rsidRPr="008E23FE" w:rsidRDefault="008E23FE" w:rsidP="00E521E0">
      <w:pPr>
        <w:spacing w:after="0" w:line="240" w:lineRule="auto"/>
        <w:ind w:left="1440"/>
        <w:jc w:val="both"/>
        <w:rPr>
          <w:i/>
          <w:lang w:val="en-GB"/>
        </w:rPr>
      </w:pPr>
    </w:p>
    <w:p w:rsidR="001E546E" w:rsidRPr="008E23FE" w:rsidRDefault="001E546E" w:rsidP="00E521E0">
      <w:pPr>
        <w:spacing w:after="0" w:line="240" w:lineRule="auto"/>
        <w:jc w:val="both"/>
        <w:rPr>
          <w:b/>
          <w:sz w:val="20"/>
          <w:lang w:val="en-GB"/>
        </w:rPr>
      </w:pPr>
      <w:r w:rsidRPr="008E23FE">
        <w:rPr>
          <w:b/>
          <w:sz w:val="20"/>
          <w:lang w:val="en-GB"/>
        </w:rPr>
        <w:t>Joint doctoral programmes</w:t>
      </w:r>
    </w:p>
    <w:p w:rsidR="001E546E" w:rsidRPr="008E23FE" w:rsidRDefault="001E546E" w:rsidP="00E521E0">
      <w:pPr>
        <w:spacing w:after="120" w:line="240" w:lineRule="auto"/>
        <w:jc w:val="both"/>
        <w:rPr>
          <w:lang w:val="en-GB"/>
        </w:rPr>
      </w:pPr>
      <w:r w:rsidRPr="008E23FE">
        <w:rPr>
          <w:lang w:val="en-GB"/>
        </w:rPr>
        <w:t xml:space="preserve">Your university can be involved as a partner in a consortium of higher education institutions that offers a </w:t>
      </w:r>
      <w:r w:rsidRPr="008E23FE">
        <w:rPr>
          <w:b/>
          <w:lang w:val="en-GB"/>
        </w:rPr>
        <w:t xml:space="preserve">European Joint Doctorate </w:t>
      </w:r>
      <w:r w:rsidRPr="008E23FE">
        <w:rPr>
          <w:lang w:val="en-GB"/>
        </w:rPr>
        <w:t xml:space="preserve">under the Marie </w:t>
      </w:r>
      <w:proofErr w:type="spellStart"/>
      <w:r w:rsidRPr="008E23FE">
        <w:rPr>
          <w:lang w:val="en-GB"/>
        </w:rPr>
        <w:t>Skłodowska</w:t>
      </w:r>
      <w:proofErr w:type="spellEnd"/>
      <w:r w:rsidRPr="008E23FE">
        <w:rPr>
          <w:lang w:val="en-GB"/>
        </w:rPr>
        <w:t xml:space="preserve">-Curie Actions. </w:t>
      </w:r>
    </w:p>
    <w:p w:rsidR="001E546E" w:rsidRPr="00E521E0" w:rsidRDefault="001E546E" w:rsidP="00E521E0">
      <w:pPr>
        <w:numPr>
          <w:ilvl w:val="1"/>
          <w:numId w:val="8"/>
        </w:numPr>
        <w:spacing w:after="0" w:line="240" w:lineRule="auto"/>
        <w:ind w:left="924" w:hanging="357"/>
        <w:jc w:val="both"/>
        <w:rPr>
          <w:i/>
          <w:lang w:val="en-GB"/>
        </w:rPr>
      </w:pPr>
      <w:r w:rsidRPr="008E23FE">
        <w:rPr>
          <w:i/>
          <w:lang w:val="en-GB"/>
        </w:rPr>
        <w:t xml:space="preserve">Visit the website of the </w:t>
      </w:r>
      <w:r w:rsidRPr="008E23FE">
        <w:rPr>
          <w:lang w:val="en-GB"/>
        </w:rPr>
        <w:t xml:space="preserve">Marie </w:t>
      </w:r>
      <w:proofErr w:type="spellStart"/>
      <w:r w:rsidRPr="008E23FE">
        <w:rPr>
          <w:lang w:val="en-GB"/>
        </w:rPr>
        <w:t>Skłodowska</w:t>
      </w:r>
      <w:proofErr w:type="spellEnd"/>
      <w:r w:rsidRPr="008E23FE">
        <w:rPr>
          <w:lang w:val="en-GB"/>
        </w:rPr>
        <w:t>-Curie Actions</w:t>
      </w:r>
      <w:r w:rsidRPr="008E23FE">
        <w:rPr>
          <w:i/>
          <w:lang w:val="en-GB"/>
        </w:rPr>
        <w:t xml:space="preserve"> for more information</w:t>
      </w:r>
      <w:r w:rsidR="00AA1289">
        <w:rPr>
          <w:i/>
          <w:lang w:val="en-GB"/>
        </w:rPr>
        <w:t>.</w:t>
      </w:r>
    </w:p>
    <w:p w:rsidR="008E23FE" w:rsidRPr="008E23FE" w:rsidRDefault="008E23FE" w:rsidP="00E521E0">
      <w:pPr>
        <w:spacing w:after="0" w:line="240" w:lineRule="auto"/>
        <w:ind w:left="1440"/>
        <w:jc w:val="both"/>
        <w:rPr>
          <w:i/>
          <w:lang w:val="en-GB"/>
        </w:rPr>
      </w:pPr>
    </w:p>
    <w:p w:rsidR="001E546E" w:rsidRPr="008E23FE" w:rsidRDefault="001E546E" w:rsidP="00E521E0">
      <w:pPr>
        <w:spacing w:after="0" w:line="240" w:lineRule="auto"/>
        <w:rPr>
          <w:b/>
          <w:sz w:val="20"/>
          <w:lang w:val="en-GB"/>
        </w:rPr>
      </w:pPr>
      <w:r w:rsidRPr="008E23FE">
        <w:rPr>
          <w:b/>
          <w:sz w:val="20"/>
          <w:lang w:val="en-GB"/>
        </w:rPr>
        <w:t xml:space="preserve">Higher education </w:t>
      </w:r>
      <w:r w:rsidR="00A41956">
        <w:rPr>
          <w:b/>
          <w:sz w:val="20"/>
          <w:lang w:val="en-GB"/>
        </w:rPr>
        <w:t>inter-</w:t>
      </w:r>
      <w:r w:rsidRPr="008E23FE">
        <w:rPr>
          <w:b/>
          <w:sz w:val="20"/>
          <w:lang w:val="en-GB"/>
        </w:rPr>
        <w:t>institution</w:t>
      </w:r>
      <w:r w:rsidR="00A41956">
        <w:rPr>
          <w:b/>
          <w:sz w:val="20"/>
          <w:lang w:val="en-GB"/>
        </w:rPr>
        <w:t>al</w:t>
      </w:r>
      <w:r w:rsidRPr="008E23FE">
        <w:rPr>
          <w:b/>
          <w:sz w:val="20"/>
          <w:lang w:val="en-GB"/>
        </w:rPr>
        <w:t xml:space="preserve"> agreements for credit mobility</w:t>
      </w:r>
    </w:p>
    <w:p w:rsidR="001E546E" w:rsidRPr="008E23FE" w:rsidRDefault="00A52EC7" w:rsidP="00E521E0">
      <w:pPr>
        <w:spacing w:after="120" w:line="240" w:lineRule="auto"/>
        <w:jc w:val="both"/>
        <w:rPr>
          <w:lang w:val="en-GB"/>
        </w:rPr>
      </w:pPr>
      <w:r>
        <w:rPr>
          <w:lang w:val="en-GB"/>
        </w:rPr>
        <w:t>By concluding</w:t>
      </w:r>
      <w:r w:rsidR="001E546E" w:rsidRPr="008E23FE">
        <w:rPr>
          <w:lang w:val="en-GB"/>
        </w:rPr>
        <w:t xml:space="preserve"> an inter-institutional agreement </w:t>
      </w:r>
      <w:r>
        <w:rPr>
          <w:lang w:val="en-GB"/>
        </w:rPr>
        <w:t xml:space="preserve">with another university, </w:t>
      </w:r>
      <w:r w:rsidR="001E546E" w:rsidRPr="008E23FE">
        <w:rPr>
          <w:lang w:val="en-GB"/>
        </w:rPr>
        <w:t>your university will be able to send your own students, doctoral candidates or staff (with scholarships) for short-term mobility (up to 12 months) to partner universities covered by the agreement</w:t>
      </w:r>
      <w:r w:rsidR="001A5021">
        <w:rPr>
          <w:lang w:val="en-GB"/>
        </w:rPr>
        <w:t xml:space="preserve"> anywhere in the world</w:t>
      </w:r>
      <w:r w:rsidR="001E546E" w:rsidRPr="008E23FE">
        <w:rPr>
          <w:lang w:val="en-GB"/>
        </w:rPr>
        <w:t>. Under the agreement your institution will recognise the credits accrued by your students when abroad, which will contribute to the student's degree once back home. Your staff will be able to receive grants for teaching assignments or training at the partner institution. Under the same agreement, you will be able to host foreign students, PhD candidates or staff for similar short-term study periods at your institution.</w:t>
      </w:r>
    </w:p>
    <w:p w:rsidR="001E546E" w:rsidRPr="00E521E0" w:rsidRDefault="001E546E" w:rsidP="00E521E0">
      <w:pPr>
        <w:numPr>
          <w:ilvl w:val="1"/>
          <w:numId w:val="8"/>
        </w:numPr>
        <w:spacing w:after="0" w:line="240" w:lineRule="auto"/>
        <w:ind w:left="924" w:hanging="357"/>
        <w:jc w:val="both"/>
        <w:rPr>
          <w:i/>
          <w:lang w:val="en-GB"/>
        </w:rPr>
      </w:pPr>
      <w:r w:rsidRPr="008E23FE">
        <w:rPr>
          <w:i/>
          <w:lang w:val="en-GB"/>
        </w:rPr>
        <w:t xml:space="preserve">Institutions from Erasmus+ countries* will be able to submit an application to manage a mobility project for higher education students, PhD candidates and staff. This should be submitted to the National Agency for Erasmus+ of their country. Higher education institutions from other countries across the world can </w:t>
      </w:r>
      <w:r w:rsidR="00A52EC7">
        <w:rPr>
          <w:i/>
          <w:lang w:val="en-GB"/>
        </w:rPr>
        <w:t>be part of the inter-institutional agreement.</w:t>
      </w:r>
    </w:p>
    <w:p w:rsidR="008E23FE" w:rsidRPr="008E23FE" w:rsidRDefault="008E23FE" w:rsidP="00E521E0">
      <w:pPr>
        <w:spacing w:after="0" w:line="240" w:lineRule="auto"/>
        <w:ind w:left="1440"/>
        <w:jc w:val="both"/>
        <w:rPr>
          <w:i/>
          <w:lang w:val="en-GB"/>
        </w:rPr>
      </w:pPr>
    </w:p>
    <w:p w:rsidR="001E546E" w:rsidRPr="008E23FE" w:rsidRDefault="001E546E" w:rsidP="00E521E0">
      <w:pPr>
        <w:spacing w:after="0" w:line="240" w:lineRule="auto"/>
        <w:jc w:val="both"/>
        <w:rPr>
          <w:b/>
          <w:sz w:val="20"/>
          <w:lang w:val="en-GB"/>
        </w:rPr>
      </w:pPr>
      <w:r w:rsidRPr="008E23FE">
        <w:rPr>
          <w:b/>
          <w:sz w:val="20"/>
          <w:lang w:val="en-GB"/>
        </w:rPr>
        <w:t>Capacity-building projects</w:t>
      </w:r>
    </w:p>
    <w:p w:rsidR="001E546E" w:rsidRDefault="001E546E" w:rsidP="00E521E0">
      <w:pPr>
        <w:spacing w:after="0" w:line="240" w:lineRule="auto"/>
        <w:jc w:val="both"/>
        <w:rPr>
          <w:lang w:val="en-GB"/>
        </w:rPr>
      </w:pPr>
      <w:r w:rsidRPr="008E23FE">
        <w:rPr>
          <w:lang w:val="en-GB"/>
        </w:rPr>
        <w:t xml:space="preserve">Your university can take part in collaborative </w:t>
      </w:r>
      <w:r w:rsidRPr="008E23FE">
        <w:rPr>
          <w:b/>
          <w:lang w:val="en-GB"/>
        </w:rPr>
        <w:t>capacity-building projects</w:t>
      </w:r>
      <w:r w:rsidRPr="008E23FE">
        <w:rPr>
          <w:lang w:val="en-GB"/>
        </w:rPr>
        <w:t xml:space="preserve"> set up and managed by a consortium of universities from the Erasmus+ countries* on the one hand and those from a particular region of the world on the other (the EU's neighbouri</w:t>
      </w:r>
      <w:r w:rsidR="008275F2">
        <w:rPr>
          <w:lang w:val="en-GB"/>
        </w:rPr>
        <w:t>n</w:t>
      </w:r>
      <w:r w:rsidRPr="008E23FE">
        <w:rPr>
          <w:lang w:val="en-GB"/>
        </w:rPr>
        <w:t>g countries, candidate and potential candidate countries, Latin America, Asia, Africa-Caribbean-Pacific countries). These projects can be:</w:t>
      </w:r>
    </w:p>
    <w:p w:rsidR="00921CA5" w:rsidRDefault="00921CA5" w:rsidP="00E521E0">
      <w:pPr>
        <w:spacing w:after="0" w:line="240" w:lineRule="auto"/>
        <w:jc w:val="both"/>
        <w:rPr>
          <w:lang w:val="en-GB"/>
        </w:rPr>
      </w:pPr>
    </w:p>
    <w:p w:rsidR="001E546E" w:rsidRPr="008E23FE" w:rsidRDefault="001E546E" w:rsidP="00E521E0">
      <w:pPr>
        <w:numPr>
          <w:ilvl w:val="0"/>
          <w:numId w:val="9"/>
        </w:numPr>
        <w:spacing w:after="0" w:line="240" w:lineRule="auto"/>
        <w:jc w:val="both"/>
        <w:rPr>
          <w:color w:val="000000"/>
          <w:lang w:val="en-GB"/>
        </w:rPr>
      </w:pPr>
      <w:r w:rsidRPr="008E23FE">
        <w:rPr>
          <w:lang w:val="en-GB"/>
        </w:rPr>
        <w:t xml:space="preserve">Joint projects: these help all partners to </w:t>
      </w:r>
      <w:r w:rsidRPr="008E23FE">
        <w:rPr>
          <w:color w:val="000000"/>
          <w:lang w:val="en-GB"/>
        </w:rPr>
        <w:t>develop, modernise and disseminate new curricula, teaching methods or materials, as well as to boost quality assurance and governance of higher education institutions.</w:t>
      </w:r>
    </w:p>
    <w:p w:rsidR="001E546E" w:rsidRPr="008E23FE" w:rsidRDefault="001E546E" w:rsidP="00E521E0">
      <w:pPr>
        <w:numPr>
          <w:ilvl w:val="0"/>
          <w:numId w:val="9"/>
        </w:numPr>
        <w:spacing w:after="0" w:line="240" w:lineRule="auto"/>
        <w:jc w:val="both"/>
        <w:rPr>
          <w:lang w:val="en-GB"/>
        </w:rPr>
      </w:pPr>
      <w:r w:rsidRPr="008E23FE">
        <w:rPr>
          <w:lang w:val="en-GB"/>
        </w:rPr>
        <w:t xml:space="preserve">Structural Projects: to develop and reform higher education institutions and systems; to enhance their quality and relevance, promote regional cooperation and increase convergence. </w:t>
      </w:r>
    </w:p>
    <w:p w:rsidR="001F7BED" w:rsidRDefault="001F7BED" w:rsidP="00E521E0">
      <w:pPr>
        <w:spacing w:after="120" w:line="240" w:lineRule="auto"/>
        <w:jc w:val="both"/>
        <w:rPr>
          <w:lang w:val="en-GB"/>
        </w:rPr>
      </w:pPr>
      <w:r>
        <w:rPr>
          <w:noProof/>
          <w:lang w:val="en-GB" w:eastAsia="en-GB"/>
        </w:rPr>
        <w:drawing>
          <wp:anchor distT="0" distB="0" distL="114300" distR="114300" simplePos="0" relativeHeight="251656192" behindDoc="1" locked="0" layoutInCell="1" allowOverlap="1" wp14:anchorId="3F9747AD" wp14:editId="29A59CED">
            <wp:simplePos x="0" y="0"/>
            <wp:positionH relativeFrom="page">
              <wp:posOffset>-63500</wp:posOffset>
            </wp:positionH>
            <wp:positionV relativeFrom="paragraph">
              <wp:posOffset>111760</wp:posOffset>
            </wp:positionV>
            <wp:extent cx="7607300" cy="596900"/>
            <wp:effectExtent l="25400" t="0" r="0" b="0"/>
            <wp:wrapNone/>
            <wp:docPr id="3" name="Picture 3" descr="eac-factsheetrA4-word-bg2-footer-EA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factsheetrA4-word-bg2-footer-EAC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7300" cy="596900"/>
                    </a:xfrm>
                    <a:prstGeom prst="rect">
                      <a:avLst/>
                    </a:prstGeom>
                    <a:noFill/>
                    <a:ln>
                      <a:noFill/>
                    </a:ln>
                  </pic:spPr>
                </pic:pic>
              </a:graphicData>
            </a:graphic>
          </wp:anchor>
        </w:drawing>
      </w:r>
    </w:p>
    <w:p w:rsidR="001F7BED" w:rsidRDefault="00A52EC7" w:rsidP="00E521E0">
      <w:pPr>
        <w:spacing w:after="120" w:line="240" w:lineRule="auto"/>
        <w:jc w:val="both"/>
        <w:rPr>
          <w:lang w:val="en-GB"/>
        </w:rPr>
      </w:pPr>
      <w:r>
        <w:rPr>
          <w:noProof/>
          <w:lang w:val="en-GB" w:eastAsia="en-GB"/>
        </w:rPr>
        <w:lastRenderedPageBreak/>
        <mc:AlternateContent>
          <mc:Choice Requires="wps">
            <w:drawing>
              <wp:anchor distT="0" distB="0" distL="114300" distR="114300" simplePos="0" relativeHeight="251665408" behindDoc="0" locked="0" layoutInCell="1" allowOverlap="1" wp14:anchorId="51820B36" wp14:editId="04F4EBAA">
                <wp:simplePos x="0" y="0"/>
                <wp:positionH relativeFrom="column">
                  <wp:posOffset>-1028700</wp:posOffset>
                </wp:positionH>
                <wp:positionV relativeFrom="paragraph">
                  <wp:posOffset>-800100</wp:posOffset>
                </wp:positionV>
                <wp:extent cx="8229600" cy="1116330"/>
                <wp:effectExtent l="0" t="0" r="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116330"/>
                        </a:xfrm>
                        <a:prstGeom prst="rect">
                          <a:avLst/>
                        </a:prstGeom>
                        <a:solidFill>
                          <a:srgbClr val="F7C9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FE82B5D" id="Rectangle 7" o:spid="_x0000_s1026" style="position:absolute;margin-left:-81pt;margin-top:-63pt;width:9in;height:8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" fillcolor="#f7c943" stroked="f"/>
            </w:pict>
          </mc:Fallback>
        </mc:AlternateContent>
      </w:r>
    </w:p>
    <w:p w:rsidR="001F7BED" w:rsidRDefault="001F7BED" w:rsidP="00E521E0">
      <w:pPr>
        <w:spacing w:after="120" w:line="240" w:lineRule="auto"/>
        <w:jc w:val="both"/>
        <w:rPr>
          <w:lang w:val="en-GB"/>
        </w:rPr>
      </w:pPr>
    </w:p>
    <w:p w:rsidR="001E546E" w:rsidRPr="008E23FE" w:rsidRDefault="001E546E" w:rsidP="00E521E0">
      <w:pPr>
        <w:spacing w:after="120" w:line="240" w:lineRule="auto"/>
        <w:jc w:val="both"/>
        <w:rPr>
          <w:lang w:val="en-GB"/>
        </w:rPr>
      </w:pPr>
      <w:r w:rsidRPr="008E23FE">
        <w:rPr>
          <w:lang w:val="en-GB"/>
        </w:rPr>
        <w:t>In certain partner countries neighbouring the EU, capacity-building projects will also be able to include a mobility component targeted at students and staff from the institutions involved in the project.</w:t>
      </w:r>
    </w:p>
    <w:p w:rsidR="001E546E" w:rsidRPr="00E521E0" w:rsidRDefault="001E546E" w:rsidP="00E521E0">
      <w:pPr>
        <w:numPr>
          <w:ilvl w:val="1"/>
          <w:numId w:val="8"/>
        </w:numPr>
        <w:spacing w:after="0" w:line="240" w:lineRule="auto"/>
        <w:ind w:left="924" w:hanging="357"/>
        <w:jc w:val="both"/>
        <w:rPr>
          <w:i/>
          <w:lang w:val="en-GB"/>
        </w:rPr>
      </w:pPr>
      <w:r w:rsidRPr="008E23FE">
        <w:rPr>
          <w:i/>
          <w:lang w:val="en-GB"/>
        </w:rPr>
        <w:t>Institutions</w:t>
      </w:r>
      <w:r w:rsidR="001F7BED">
        <w:rPr>
          <w:i/>
          <w:lang w:val="en-GB"/>
        </w:rPr>
        <w:t xml:space="preserve"> from all over the world</w:t>
      </w:r>
      <w:r w:rsidRPr="008E23FE">
        <w:rPr>
          <w:i/>
          <w:lang w:val="en-GB"/>
        </w:rPr>
        <w:t xml:space="preserve"> can submit a proposal for a capacity-building project under an </w:t>
      </w:r>
      <w:r w:rsidRPr="008E23FE">
        <w:rPr>
          <w:lang w:val="en-GB"/>
        </w:rPr>
        <w:t>Erasmus+</w:t>
      </w:r>
      <w:r w:rsidRPr="008E23FE">
        <w:rPr>
          <w:i/>
          <w:lang w:val="en-GB"/>
        </w:rPr>
        <w:t xml:space="preserve"> Call for Proposals</w:t>
      </w:r>
      <w:r w:rsidR="00446F17">
        <w:rPr>
          <w:i/>
          <w:lang w:val="en-GB"/>
        </w:rPr>
        <w:t>.</w:t>
      </w:r>
    </w:p>
    <w:p w:rsidR="008E23FE" w:rsidRDefault="008E23FE" w:rsidP="00E521E0">
      <w:pPr>
        <w:spacing w:after="0" w:line="240" w:lineRule="auto"/>
        <w:rPr>
          <w:i/>
          <w:sz w:val="16"/>
          <w:lang w:val="en-GB"/>
        </w:rPr>
      </w:pPr>
    </w:p>
    <w:p w:rsidR="00F33626" w:rsidRDefault="0077322E" w:rsidP="0077322E">
      <w:pPr>
        <w:spacing w:after="0" w:line="240" w:lineRule="auto"/>
        <w:jc w:val="both"/>
        <w:rPr>
          <w:b/>
          <w:sz w:val="20"/>
          <w:lang w:val="en-GB"/>
        </w:rPr>
      </w:pPr>
      <w:r w:rsidRPr="0077322E">
        <w:rPr>
          <w:b/>
          <w:sz w:val="20"/>
          <w:lang w:val="en-GB"/>
        </w:rPr>
        <w:t>Strategic Partnerships and Knowledge Alliances</w:t>
      </w:r>
    </w:p>
    <w:p w:rsidR="0077322E" w:rsidRPr="00F33626" w:rsidRDefault="00F33626" w:rsidP="0077322E">
      <w:pPr>
        <w:spacing w:after="0" w:line="240" w:lineRule="auto"/>
        <w:jc w:val="both"/>
        <w:rPr>
          <w:sz w:val="20"/>
          <w:lang w:val="en-GB"/>
        </w:rPr>
      </w:pPr>
      <w:r w:rsidRPr="00F33626">
        <w:rPr>
          <w:sz w:val="20"/>
          <w:lang w:val="en-GB"/>
        </w:rPr>
        <w:t xml:space="preserve">Institutions from partner countries can equally participate </w:t>
      </w:r>
      <w:r>
        <w:rPr>
          <w:sz w:val="20"/>
          <w:lang w:val="en-GB"/>
        </w:rPr>
        <w:t xml:space="preserve">in </w:t>
      </w:r>
      <w:r w:rsidRPr="00F33626">
        <w:rPr>
          <w:sz w:val="20"/>
          <w:lang w:val="en-GB"/>
        </w:rPr>
        <w:t>strategic partnerships and Knowledge Alliances.</w:t>
      </w:r>
      <w:r w:rsidR="00E34263" w:rsidRPr="00F33626">
        <w:rPr>
          <w:rStyle w:val="Referencafusnote"/>
          <w:sz w:val="20"/>
          <w:lang w:val="en-GB"/>
        </w:rPr>
        <w:footnoteReference w:id="1"/>
      </w:r>
    </w:p>
    <w:p w:rsidR="0008441E" w:rsidRDefault="0008441E" w:rsidP="00E34263">
      <w:pPr>
        <w:spacing w:after="0" w:line="240" w:lineRule="auto"/>
        <w:jc w:val="both"/>
        <w:rPr>
          <w:i/>
          <w:lang w:val="en-GB"/>
        </w:rPr>
      </w:pPr>
    </w:p>
    <w:p w:rsidR="0008441E" w:rsidRDefault="0008441E" w:rsidP="00E521E0">
      <w:pPr>
        <w:spacing w:after="0" w:line="240" w:lineRule="auto"/>
        <w:jc w:val="both"/>
        <w:rPr>
          <w:b/>
          <w:sz w:val="20"/>
          <w:lang w:val="en-GB"/>
        </w:rPr>
      </w:pPr>
      <w:r w:rsidRPr="00F92F7D">
        <w:rPr>
          <w:b/>
          <w:sz w:val="20"/>
          <w:lang w:val="en-GB"/>
        </w:rPr>
        <w:t>Jean Monnet</w:t>
      </w:r>
      <w:r>
        <w:rPr>
          <w:b/>
          <w:sz w:val="20"/>
          <w:lang w:val="en-GB"/>
        </w:rPr>
        <w:t xml:space="preserve"> projects</w:t>
      </w:r>
    </w:p>
    <w:p w:rsidR="0008441E" w:rsidRDefault="0008441E" w:rsidP="00E521E0">
      <w:pPr>
        <w:pStyle w:val="StandardWeb"/>
        <w:spacing w:before="0" w:beforeAutospacing="0" w:after="120" w:afterAutospacing="0"/>
        <w:jc w:val="both"/>
        <w:rPr>
          <w:szCs w:val="18"/>
        </w:rPr>
      </w:pPr>
      <w:r>
        <w:rPr>
          <w:rFonts w:ascii="Verdana" w:eastAsia="Calibri" w:hAnsi="Verdana"/>
          <w:sz w:val="18"/>
          <w:szCs w:val="18"/>
          <w:lang w:eastAsia="en-US"/>
        </w:rPr>
        <w:t>Your university can propose a project specialised in EU studies to promote excellence in teaching and research on the European integration process</w:t>
      </w:r>
      <w:r w:rsidRPr="00631795">
        <w:rPr>
          <w:rFonts w:ascii="Verdana" w:eastAsia="Calibri" w:hAnsi="Verdana"/>
          <w:sz w:val="18"/>
          <w:szCs w:val="18"/>
          <w:lang w:eastAsia="en-US"/>
        </w:rPr>
        <w:t xml:space="preserve">. </w:t>
      </w:r>
      <w:r w:rsidRPr="001465EE">
        <w:rPr>
          <w:rFonts w:ascii="Verdana" w:eastAsia="Calibri" w:hAnsi="Verdana"/>
          <w:sz w:val="18"/>
          <w:szCs w:val="18"/>
          <w:lang w:eastAsia="en-US"/>
        </w:rPr>
        <w:t xml:space="preserve">The </w:t>
      </w:r>
      <w:r>
        <w:rPr>
          <w:rFonts w:ascii="Verdana" w:eastAsia="Calibri" w:hAnsi="Verdana"/>
          <w:sz w:val="18"/>
          <w:szCs w:val="18"/>
          <w:lang w:eastAsia="en-US"/>
        </w:rPr>
        <w:t>Jean Monnet p</w:t>
      </w:r>
      <w:r w:rsidRPr="001465EE">
        <w:rPr>
          <w:rFonts w:ascii="Verdana" w:eastAsia="Calibri" w:hAnsi="Verdana"/>
          <w:sz w:val="18"/>
          <w:szCs w:val="18"/>
          <w:lang w:eastAsia="en-US"/>
        </w:rPr>
        <w:t>rogramme supports these projects and the professors</w:t>
      </w:r>
      <w:r w:rsidR="00756118">
        <w:rPr>
          <w:rFonts w:ascii="Verdana" w:eastAsia="Calibri" w:hAnsi="Verdana"/>
          <w:sz w:val="18"/>
          <w:szCs w:val="18"/>
          <w:lang w:eastAsia="en-US"/>
        </w:rPr>
        <w:t>, while k</w:t>
      </w:r>
      <w:r w:rsidRPr="00631795">
        <w:rPr>
          <w:rFonts w:ascii="Verdana" w:eastAsia="Calibri" w:hAnsi="Verdana"/>
          <w:sz w:val="18"/>
          <w:szCs w:val="18"/>
          <w:lang w:eastAsia="en-US"/>
        </w:rPr>
        <w:t>ey activities include courses, research, conferences, and publications in the field of EU studies</w:t>
      </w:r>
      <w:r w:rsidR="001867E4">
        <w:rPr>
          <w:rFonts w:ascii="Verdana" w:eastAsia="Calibri" w:hAnsi="Verdana"/>
          <w:sz w:val="18"/>
          <w:szCs w:val="18"/>
          <w:lang w:eastAsia="en-US"/>
        </w:rPr>
        <w:t>.</w:t>
      </w:r>
      <w:r>
        <w:rPr>
          <w:rFonts w:ascii="Verdana" w:eastAsia="Calibri" w:hAnsi="Verdana"/>
          <w:sz w:val="18"/>
          <w:szCs w:val="18"/>
          <w:lang w:eastAsia="en-US"/>
        </w:rPr>
        <w:t xml:space="preserve"> </w:t>
      </w:r>
    </w:p>
    <w:p w:rsidR="0008441E" w:rsidRPr="007467E5" w:rsidRDefault="0008441E" w:rsidP="00E521E0">
      <w:pPr>
        <w:numPr>
          <w:ilvl w:val="1"/>
          <w:numId w:val="8"/>
        </w:numPr>
        <w:spacing w:after="0" w:line="240" w:lineRule="auto"/>
        <w:ind w:left="924" w:hanging="357"/>
        <w:jc w:val="both"/>
        <w:rPr>
          <w:i/>
          <w:lang w:val="en-GB"/>
        </w:rPr>
      </w:pPr>
      <w:r>
        <w:rPr>
          <w:i/>
          <w:lang w:val="en-GB"/>
        </w:rPr>
        <w:t>Institutions</w:t>
      </w:r>
      <w:r w:rsidRPr="00A66790">
        <w:rPr>
          <w:i/>
          <w:lang w:val="en-GB"/>
        </w:rPr>
        <w:t xml:space="preserve"> </w:t>
      </w:r>
      <w:r>
        <w:rPr>
          <w:i/>
          <w:lang w:val="en-GB"/>
        </w:rPr>
        <w:t>and associations from all over the world will be able</w:t>
      </w:r>
      <w:r w:rsidRPr="00A66790">
        <w:rPr>
          <w:i/>
          <w:lang w:val="en-GB"/>
        </w:rPr>
        <w:t xml:space="preserve"> submit a proposal for a </w:t>
      </w:r>
      <w:r>
        <w:rPr>
          <w:i/>
          <w:lang w:val="en-GB"/>
        </w:rPr>
        <w:t>Jean Monnet</w:t>
      </w:r>
      <w:r w:rsidRPr="00A66790">
        <w:rPr>
          <w:i/>
          <w:lang w:val="en-GB"/>
        </w:rPr>
        <w:t xml:space="preserve"> project under an </w:t>
      </w:r>
      <w:r w:rsidRPr="00A66790">
        <w:rPr>
          <w:lang w:val="en-GB"/>
        </w:rPr>
        <w:t>Erasmus+</w:t>
      </w:r>
      <w:r w:rsidRPr="00A66790">
        <w:rPr>
          <w:i/>
          <w:lang w:val="en-GB"/>
        </w:rPr>
        <w:t xml:space="preserve"> Call for Proposals</w:t>
      </w:r>
      <w:r w:rsidR="00446F17">
        <w:rPr>
          <w:i/>
          <w:lang w:val="en-GB"/>
        </w:rPr>
        <w:t>.</w:t>
      </w:r>
      <w:r>
        <w:rPr>
          <w:i/>
          <w:lang w:val="en-GB"/>
        </w:rPr>
        <w:t xml:space="preserve"> </w:t>
      </w:r>
      <w:r w:rsidRPr="00703E44">
        <w:rPr>
          <w:i/>
          <w:lang w:val="en-GB"/>
        </w:rPr>
        <w:t>Jean Monnet projects involve a unilateral agreement between the Agency and only one beneficiary institution. However, in practice, and particularly in the case of networks, the informal involvement of partner institutions is possible.</w:t>
      </w:r>
    </w:p>
    <w:p w:rsidR="008E23FE" w:rsidRDefault="008E23FE" w:rsidP="00E521E0">
      <w:pPr>
        <w:spacing w:after="0" w:line="240" w:lineRule="auto"/>
        <w:rPr>
          <w:b/>
          <w:sz w:val="20"/>
          <w:lang w:val="en-GB"/>
        </w:rPr>
      </w:pPr>
    </w:p>
    <w:p w:rsidR="00F33626" w:rsidRPr="009F50FB" w:rsidRDefault="00F33626" w:rsidP="00E521E0">
      <w:pPr>
        <w:spacing w:after="0" w:line="240" w:lineRule="auto"/>
        <w:rPr>
          <w:b/>
          <w:sz w:val="20"/>
          <w:lang w:val="en-GB"/>
        </w:rPr>
      </w:pPr>
    </w:p>
    <w:p w:rsidR="00A66790" w:rsidRDefault="00456887" w:rsidP="00E521E0">
      <w:pPr>
        <w:spacing w:after="0" w:line="240" w:lineRule="auto"/>
        <w:rPr>
          <w:b/>
          <w:sz w:val="28"/>
          <w:lang w:val="en-GB"/>
        </w:rPr>
      </w:pPr>
      <w:r w:rsidRPr="008E23FE">
        <w:rPr>
          <w:b/>
          <w:sz w:val="28"/>
          <w:lang w:val="en-GB"/>
        </w:rPr>
        <w:t>Opportunities for i</w:t>
      </w:r>
      <w:r w:rsidR="00A66790" w:rsidRPr="008E23FE">
        <w:rPr>
          <w:b/>
          <w:sz w:val="28"/>
          <w:lang w:val="en-GB"/>
        </w:rPr>
        <w:t>ndividuals</w:t>
      </w:r>
    </w:p>
    <w:p w:rsidR="00B93CA4" w:rsidRPr="00E521E0" w:rsidRDefault="00B93CA4" w:rsidP="00E521E0">
      <w:pPr>
        <w:spacing w:after="0" w:line="240" w:lineRule="auto"/>
        <w:rPr>
          <w:b/>
          <w:sz w:val="22"/>
          <w:lang w:val="en-GB"/>
        </w:rPr>
      </w:pPr>
    </w:p>
    <w:p w:rsidR="00A66790" w:rsidRPr="008E23FE" w:rsidRDefault="00A66790" w:rsidP="00E521E0">
      <w:pPr>
        <w:spacing w:after="0" w:line="240" w:lineRule="auto"/>
        <w:rPr>
          <w:b/>
          <w:sz w:val="20"/>
          <w:lang w:val="en-GB"/>
        </w:rPr>
      </w:pPr>
      <w:r w:rsidRPr="008E23FE">
        <w:rPr>
          <w:b/>
          <w:sz w:val="20"/>
          <w:lang w:val="en-GB"/>
        </w:rPr>
        <w:t>Students</w:t>
      </w:r>
      <w:r w:rsidR="00AA1289">
        <w:rPr>
          <w:b/>
          <w:sz w:val="20"/>
          <w:lang w:val="en-GB"/>
        </w:rPr>
        <w:t>/young researchers</w:t>
      </w:r>
    </w:p>
    <w:p w:rsidR="00A66790" w:rsidRPr="008E23FE" w:rsidRDefault="00A66790" w:rsidP="00E521E0">
      <w:pPr>
        <w:numPr>
          <w:ilvl w:val="0"/>
          <w:numId w:val="8"/>
        </w:numPr>
        <w:spacing w:after="120" w:line="240" w:lineRule="auto"/>
        <w:ind w:left="714" w:hanging="357"/>
        <w:jc w:val="both"/>
        <w:rPr>
          <w:lang w:val="en-GB"/>
        </w:rPr>
      </w:pPr>
      <w:r w:rsidRPr="008E23FE">
        <w:rPr>
          <w:lang w:val="en-GB"/>
        </w:rPr>
        <w:t xml:space="preserve">You can apply for a </w:t>
      </w:r>
      <w:proofErr w:type="gramStart"/>
      <w:r w:rsidR="00812718" w:rsidRPr="008E23FE">
        <w:rPr>
          <w:lang w:val="en-GB"/>
        </w:rPr>
        <w:t>masters</w:t>
      </w:r>
      <w:proofErr w:type="gramEnd"/>
      <w:r w:rsidR="00812718" w:rsidRPr="008E23FE">
        <w:rPr>
          <w:lang w:val="en-GB"/>
        </w:rPr>
        <w:t xml:space="preserve"> </w:t>
      </w:r>
      <w:r w:rsidRPr="008E23FE">
        <w:rPr>
          <w:lang w:val="en-GB"/>
        </w:rPr>
        <w:t xml:space="preserve">scholarship </w:t>
      </w:r>
      <w:r w:rsidR="00812718" w:rsidRPr="008E23FE">
        <w:rPr>
          <w:lang w:val="en-GB"/>
        </w:rPr>
        <w:t xml:space="preserve">or a doctoral fellowship </w:t>
      </w:r>
      <w:r w:rsidRPr="008E23FE">
        <w:rPr>
          <w:lang w:val="en-GB"/>
        </w:rPr>
        <w:t xml:space="preserve">to </w:t>
      </w:r>
      <w:r w:rsidR="001F782E" w:rsidRPr="008E23FE">
        <w:rPr>
          <w:lang w:val="en-GB"/>
        </w:rPr>
        <w:t>follow</w:t>
      </w:r>
      <w:r w:rsidRPr="008E23FE">
        <w:rPr>
          <w:lang w:val="en-GB"/>
        </w:rPr>
        <w:t xml:space="preserve"> </w:t>
      </w:r>
      <w:r w:rsidR="00E84578" w:rsidRPr="008E23FE">
        <w:rPr>
          <w:lang w:val="en-GB"/>
        </w:rPr>
        <w:t xml:space="preserve">one of the </w:t>
      </w:r>
      <w:r w:rsidR="001535C1" w:rsidRPr="008E23FE">
        <w:rPr>
          <w:lang w:val="en-GB"/>
        </w:rPr>
        <w:t xml:space="preserve">high-level </w:t>
      </w:r>
      <w:r w:rsidRPr="008E23FE">
        <w:rPr>
          <w:b/>
          <w:lang w:val="en-GB"/>
        </w:rPr>
        <w:t>joint programme</w:t>
      </w:r>
      <w:r w:rsidR="00E84578" w:rsidRPr="008E23FE">
        <w:rPr>
          <w:b/>
          <w:lang w:val="en-GB"/>
        </w:rPr>
        <w:t>s</w:t>
      </w:r>
      <w:r w:rsidRPr="008E23FE">
        <w:rPr>
          <w:lang w:val="en-GB"/>
        </w:rPr>
        <w:t xml:space="preserve"> </w:t>
      </w:r>
      <w:r w:rsidR="001F782E" w:rsidRPr="008E23FE">
        <w:rPr>
          <w:lang w:val="en-GB"/>
        </w:rPr>
        <w:t xml:space="preserve">at masters or doctoral level </w:t>
      </w:r>
      <w:r w:rsidR="00E84578" w:rsidRPr="008E23FE">
        <w:rPr>
          <w:lang w:val="en-GB"/>
        </w:rPr>
        <w:t xml:space="preserve">selected by Erasmus+, and </w:t>
      </w:r>
      <w:r w:rsidRPr="008E23FE">
        <w:rPr>
          <w:lang w:val="en-GB"/>
        </w:rPr>
        <w:t>offered by a consortium of universities. You will study in at least two of the universities and be awarded a joint or double/multiple degree at the end of your studies.</w:t>
      </w:r>
      <w:r w:rsidR="00FF5871">
        <w:rPr>
          <w:lang w:val="en-GB"/>
        </w:rPr>
        <w:t xml:space="preserve"> </w:t>
      </w:r>
    </w:p>
    <w:p w:rsidR="00A66790" w:rsidRPr="008E23FE" w:rsidRDefault="00A66790" w:rsidP="00E521E0">
      <w:pPr>
        <w:numPr>
          <w:ilvl w:val="1"/>
          <w:numId w:val="8"/>
        </w:numPr>
        <w:spacing w:after="120" w:line="240" w:lineRule="auto"/>
        <w:ind w:left="924" w:hanging="357"/>
        <w:jc w:val="both"/>
        <w:rPr>
          <w:i/>
          <w:lang w:val="en-GB"/>
        </w:rPr>
      </w:pPr>
      <w:r w:rsidRPr="008E23FE">
        <w:rPr>
          <w:i/>
          <w:lang w:val="en-GB"/>
        </w:rPr>
        <w:t xml:space="preserve"> </w:t>
      </w:r>
      <w:r w:rsidR="00446F17">
        <w:rPr>
          <w:i/>
          <w:lang w:val="en-GB"/>
        </w:rPr>
        <w:t>A</w:t>
      </w:r>
      <w:r w:rsidRPr="008E23FE">
        <w:rPr>
          <w:i/>
          <w:lang w:val="en-GB"/>
        </w:rPr>
        <w:t>pply directly to the consortium, which carries out a competitive selection procedure for scholarship places, open to candidates from across the world.</w:t>
      </w:r>
    </w:p>
    <w:p w:rsidR="00A66790" w:rsidRPr="008E23FE" w:rsidRDefault="00A66790" w:rsidP="00E521E0">
      <w:pPr>
        <w:numPr>
          <w:ilvl w:val="0"/>
          <w:numId w:val="8"/>
        </w:numPr>
        <w:spacing w:after="120" w:line="240" w:lineRule="auto"/>
        <w:ind w:left="714" w:hanging="357"/>
        <w:jc w:val="both"/>
        <w:rPr>
          <w:lang w:val="en-GB"/>
        </w:rPr>
      </w:pPr>
      <w:r w:rsidRPr="008E23FE">
        <w:rPr>
          <w:lang w:val="en-GB"/>
        </w:rPr>
        <w:t xml:space="preserve">If </w:t>
      </w:r>
      <w:r w:rsidR="00742696" w:rsidRPr="008E23FE">
        <w:rPr>
          <w:lang w:val="en-GB"/>
        </w:rPr>
        <w:t xml:space="preserve">your </w:t>
      </w:r>
      <w:r w:rsidR="00795FF5" w:rsidRPr="008E23FE">
        <w:rPr>
          <w:lang w:val="en-GB"/>
        </w:rPr>
        <w:t>university</w:t>
      </w:r>
      <w:r w:rsidR="00742696" w:rsidRPr="008E23FE">
        <w:rPr>
          <w:lang w:val="en-GB"/>
        </w:rPr>
        <w:t xml:space="preserve"> has a</w:t>
      </w:r>
      <w:r w:rsidR="004F04BB" w:rsidRPr="008E23FE">
        <w:rPr>
          <w:lang w:val="en-GB"/>
        </w:rPr>
        <w:t xml:space="preserve">n </w:t>
      </w:r>
      <w:r w:rsidR="001F782E" w:rsidRPr="008E23FE">
        <w:rPr>
          <w:lang w:val="en-GB"/>
        </w:rPr>
        <w:t xml:space="preserve">inter-institutional </w:t>
      </w:r>
      <w:r w:rsidR="00742696" w:rsidRPr="008E23FE">
        <w:rPr>
          <w:lang w:val="en-GB"/>
        </w:rPr>
        <w:t>agreement with a</w:t>
      </w:r>
      <w:r w:rsidR="00795FF5" w:rsidRPr="008E23FE">
        <w:rPr>
          <w:lang w:val="en-GB"/>
        </w:rPr>
        <w:t xml:space="preserve"> partner </w:t>
      </w:r>
      <w:r w:rsidR="009B5DC5" w:rsidRPr="008E23FE">
        <w:rPr>
          <w:lang w:val="en-GB"/>
        </w:rPr>
        <w:t>university</w:t>
      </w:r>
      <w:r w:rsidR="00742696" w:rsidRPr="008E23FE">
        <w:rPr>
          <w:lang w:val="en-GB"/>
        </w:rPr>
        <w:t xml:space="preserve"> </w:t>
      </w:r>
      <w:r w:rsidRPr="008E23FE">
        <w:rPr>
          <w:lang w:val="en-GB"/>
        </w:rPr>
        <w:t xml:space="preserve">you can apply for a grant for </w:t>
      </w:r>
      <w:r w:rsidR="00E84578" w:rsidRPr="008E23FE">
        <w:rPr>
          <w:lang w:val="en-GB"/>
        </w:rPr>
        <w:t xml:space="preserve">short-term </w:t>
      </w:r>
      <w:r w:rsidRPr="008E23FE">
        <w:rPr>
          <w:b/>
          <w:lang w:val="en-GB"/>
        </w:rPr>
        <w:t>credit mobility</w:t>
      </w:r>
      <w:r w:rsidR="001535C1" w:rsidRPr="008E23FE">
        <w:rPr>
          <w:b/>
          <w:lang w:val="en-GB"/>
        </w:rPr>
        <w:t xml:space="preserve"> </w:t>
      </w:r>
      <w:r w:rsidR="001535C1" w:rsidRPr="008E23FE">
        <w:rPr>
          <w:lang w:val="en-GB"/>
        </w:rPr>
        <w:t>(</w:t>
      </w:r>
      <w:r w:rsidR="00E84578" w:rsidRPr="008E23FE">
        <w:rPr>
          <w:lang w:val="en-GB"/>
        </w:rPr>
        <w:t>up to</w:t>
      </w:r>
      <w:r w:rsidR="001535C1" w:rsidRPr="008E23FE">
        <w:rPr>
          <w:lang w:val="en-GB"/>
        </w:rPr>
        <w:t xml:space="preserve"> 12 months)</w:t>
      </w:r>
      <w:r w:rsidRPr="008E23FE">
        <w:rPr>
          <w:lang w:val="en-GB"/>
        </w:rPr>
        <w:t>, under which you can spend part of your study period (at bachelors, masters or doctorate level) at th</w:t>
      </w:r>
      <w:r w:rsidR="00BB2A33" w:rsidRPr="008E23FE">
        <w:rPr>
          <w:lang w:val="en-GB"/>
        </w:rPr>
        <w:t>at</w:t>
      </w:r>
      <w:r w:rsidRPr="008E23FE">
        <w:rPr>
          <w:lang w:val="en-GB"/>
        </w:rPr>
        <w:t xml:space="preserve"> partner </w:t>
      </w:r>
      <w:r w:rsidR="00ED5F67" w:rsidRPr="008E23FE">
        <w:rPr>
          <w:lang w:val="en-GB"/>
        </w:rPr>
        <w:t>institution</w:t>
      </w:r>
      <w:r w:rsidRPr="008E23FE">
        <w:rPr>
          <w:lang w:val="en-GB"/>
        </w:rPr>
        <w:t>. The course</w:t>
      </w:r>
      <w:r w:rsidR="00BB2A33" w:rsidRPr="008E23FE">
        <w:rPr>
          <w:lang w:val="en-GB"/>
        </w:rPr>
        <w:t>(</w:t>
      </w:r>
      <w:r w:rsidRPr="008E23FE">
        <w:rPr>
          <w:lang w:val="en-GB"/>
        </w:rPr>
        <w:t>s</w:t>
      </w:r>
      <w:r w:rsidR="00BB2A33" w:rsidRPr="008E23FE">
        <w:rPr>
          <w:lang w:val="en-GB"/>
        </w:rPr>
        <w:t>)</w:t>
      </w:r>
      <w:r w:rsidRPr="008E23FE">
        <w:rPr>
          <w:lang w:val="en-GB"/>
        </w:rPr>
        <w:t xml:space="preserve"> you follow will provide you with credits that will be recognised and contribute to your degree back home. </w:t>
      </w:r>
    </w:p>
    <w:p w:rsidR="00A66790" w:rsidRPr="008E23FE" w:rsidRDefault="00FF5FB8" w:rsidP="00E521E0">
      <w:pPr>
        <w:numPr>
          <w:ilvl w:val="1"/>
          <w:numId w:val="8"/>
        </w:numPr>
        <w:spacing w:before="120" w:after="0" w:line="240" w:lineRule="auto"/>
        <w:ind w:left="924" w:hanging="357"/>
        <w:jc w:val="both"/>
        <w:rPr>
          <w:i/>
          <w:lang w:val="en-GB"/>
        </w:rPr>
      </w:pPr>
      <w:r w:rsidRPr="008E23FE">
        <w:rPr>
          <w:i/>
          <w:lang w:val="en-GB"/>
        </w:rPr>
        <w:t>C</w:t>
      </w:r>
      <w:r w:rsidR="00A66790" w:rsidRPr="008E23FE">
        <w:rPr>
          <w:i/>
          <w:lang w:val="en-GB"/>
        </w:rPr>
        <w:t xml:space="preserve">ontact your </w:t>
      </w:r>
      <w:r w:rsidR="00795FF5" w:rsidRPr="008E23FE">
        <w:rPr>
          <w:i/>
          <w:lang w:val="en-GB"/>
        </w:rPr>
        <w:t xml:space="preserve">institution's </w:t>
      </w:r>
      <w:r w:rsidR="00A66790" w:rsidRPr="008E23FE">
        <w:rPr>
          <w:i/>
          <w:lang w:val="en-GB"/>
        </w:rPr>
        <w:t>international office for more information.</w:t>
      </w:r>
    </w:p>
    <w:p w:rsidR="00DA548F" w:rsidRPr="008E23FE" w:rsidRDefault="00076CE4" w:rsidP="00E521E0">
      <w:pPr>
        <w:numPr>
          <w:ilvl w:val="0"/>
          <w:numId w:val="8"/>
        </w:numPr>
        <w:spacing w:before="120" w:after="120" w:line="240" w:lineRule="auto"/>
        <w:ind w:left="714" w:hanging="357"/>
        <w:jc w:val="both"/>
        <w:rPr>
          <w:lang w:val="en-GB"/>
        </w:rPr>
      </w:pPr>
      <w:r w:rsidRPr="008E23FE">
        <w:rPr>
          <w:lang w:val="en-GB"/>
        </w:rPr>
        <w:t>You can apply for d</w:t>
      </w:r>
      <w:r w:rsidR="00DA548F" w:rsidRPr="008E23FE">
        <w:rPr>
          <w:lang w:val="en-GB"/>
        </w:rPr>
        <w:t xml:space="preserve">octoral and post-doctoral fellowships and other research grants available under the Marie </w:t>
      </w:r>
      <w:proofErr w:type="spellStart"/>
      <w:r w:rsidR="00DA548F" w:rsidRPr="008E23FE">
        <w:rPr>
          <w:lang w:val="en-GB"/>
        </w:rPr>
        <w:t>Skłodowska</w:t>
      </w:r>
      <w:proofErr w:type="spellEnd"/>
      <w:r w:rsidR="00DA548F" w:rsidRPr="008E23FE">
        <w:rPr>
          <w:lang w:val="en-GB"/>
        </w:rPr>
        <w:t>-Curie Actions, which form part of the EU's Horizon 2020 programme for research and innovation.</w:t>
      </w:r>
    </w:p>
    <w:p w:rsidR="00F27C56" w:rsidRDefault="00F27C56" w:rsidP="001F7BED">
      <w:pPr>
        <w:numPr>
          <w:ilvl w:val="1"/>
          <w:numId w:val="8"/>
        </w:numPr>
        <w:spacing w:before="120" w:after="0" w:line="240" w:lineRule="auto"/>
        <w:ind w:left="924" w:hanging="357"/>
        <w:jc w:val="both"/>
        <w:rPr>
          <w:i/>
          <w:lang w:val="en-GB"/>
        </w:rPr>
      </w:pPr>
      <w:r w:rsidRPr="008E23FE">
        <w:rPr>
          <w:i/>
          <w:lang w:val="en-GB"/>
        </w:rPr>
        <w:t xml:space="preserve"> Find out more on the Marie </w:t>
      </w:r>
      <w:proofErr w:type="spellStart"/>
      <w:r w:rsidRPr="008E23FE">
        <w:rPr>
          <w:i/>
          <w:lang w:val="en-GB"/>
        </w:rPr>
        <w:t>Skłodowska</w:t>
      </w:r>
      <w:proofErr w:type="spellEnd"/>
      <w:r w:rsidRPr="008E23FE">
        <w:rPr>
          <w:i/>
          <w:lang w:val="en-GB"/>
        </w:rPr>
        <w:t>-Curie webpages</w:t>
      </w:r>
      <w:r w:rsidR="00446F17">
        <w:rPr>
          <w:i/>
          <w:lang w:val="en-GB"/>
        </w:rPr>
        <w:t>.</w:t>
      </w:r>
    </w:p>
    <w:p w:rsidR="008275F2" w:rsidRPr="008E23FE" w:rsidRDefault="008275F2" w:rsidP="00E521E0">
      <w:pPr>
        <w:spacing w:after="0" w:line="240" w:lineRule="auto"/>
        <w:ind w:left="1440"/>
        <w:rPr>
          <w:i/>
          <w:lang w:val="en-GB"/>
        </w:rPr>
      </w:pPr>
    </w:p>
    <w:p w:rsidR="00A66790" w:rsidRPr="008E23FE" w:rsidRDefault="00ED5F67" w:rsidP="00E521E0">
      <w:pPr>
        <w:spacing w:after="0" w:line="240" w:lineRule="auto"/>
        <w:rPr>
          <w:b/>
          <w:sz w:val="20"/>
          <w:lang w:val="en-GB"/>
        </w:rPr>
      </w:pPr>
      <w:r w:rsidRPr="008E23FE">
        <w:rPr>
          <w:b/>
          <w:sz w:val="20"/>
          <w:lang w:val="en-GB"/>
        </w:rPr>
        <w:t>Higher education institution</w:t>
      </w:r>
      <w:r w:rsidR="00A66790" w:rsidRPr="008E23FE">
        <w:rPr>
          <w:b/>
          <w:sz w:val="20"/>
          <w:lang w:val="en-GB"/>
        </w:rPr>
        <w:t xml:space="preserve"> staff</w:t>
      </w:r>
    </w:p>
    <w:p w:rsidR="00A66790" w:rsidRPr="005F4728" w:rsidRDefault="00A66790" w:rsidP="005F4728">
      <w:pPr>
        <w:spacing w:after="120" w:line="240" w:lineRule="auto"/>
        <w:rPr>
          <w:szCs w:val="18"/>
          <w:lang w:val="en-GB"/>
        </w:rPr>
      </w:pPr>
      <w:r w:rsidRPr="005F4728">
        <w:rPr>
          <w:szCs w:val="18"/>
          <w:lang w:val="en-GB"/>
        </w:rPr>
        <w:t xml:space="preserve">If your </w:t>
      </w:r>
      <w:r w:rsidR="00795FF5" w:rsidRPr="005F4728">
        <w:rPr>
          <w:szCs w:val="18"/>
          <w:lang w:val="en-GB"/>
        </w:rPr>
        <w:t xml:space="preserve">university </w:t>
      </w:r>
      <w:r w:rsidRPr="005F4728">
        <w:rPr>
          <w:szCs w:val="18"/>
          <w:lang w:val="en-GB"/>
        </w:rPr>
        <w:t xml:space="preserve">has </w:t>
      </w:r>
      <w:r w:rsidR="00BB2A33" w:rsidRPr="005F4728">
        <w:rPr>
          <w:szCs w:val="18"/>
          <w:lang w:val="en-GB"/>
        </w:rPr>
        <w:t xml:space="preserve">an inter-institutional agreement </w:t>
      </w:r>
      <w:r w:rsidRPr="005F4728">
        <w:rPr>
          <w:szCs w:val="18"/>
          <w:lang w:val="en-GB"/>
        </w:rPr>
        <w:t xml:space="preserve">with a </w:t>
      </w:r>
      <w:r w:rsidR="00FF5FB8" w:rsidRPr="005F4728">
        <w:rPr>
          <w:szCs w:val="18"/>
          <w:lang w:val="en-GB"/>
        </w:rPr>
        <w:t xml:space="preserve">partner </w:t>
      </w:r>
      <w:r w:rsidR="009B5DC5" w:rsidRPr="005F4728">
        <w:rPr>
          <w:szCs w:val="18"/>
          <w:lang w:val="en-GB"/>
        </w:rPr>
        <w:t>university</w:t>
      </w:r>
      <w:r w:rsidR="00FF5FB8" w:rsidRPr="005F4728">
        <w:rPr>
          <w:szCs w:val="18"/>
          <w:lang w:val="en-GB"/>
        </w:rPr>
        <w:t xml:space="preserve"> </w:t>
      </w:r>
      <w:r w:rsidR="00ED5F67" w:rsidRPr="005F4728">
        <w:rPr>
          <w:szCs w:val="18"/>
          <w:lang w:val="en-GB"/>
        </w:rPr>
        <w:t>or is partner in a joint</w:t>
      </w:r>
      <w:r w:rsidR="005F4728">
        <w:rPr>
          <w:szCs w:val="18"/>
          <w:lang w:val="en-GB"/>
        </w:rPr>
        <w:t xml:space="preserve"> </w:t>
      </w:r>
      <w:r w:rsidR="00E84578" w:rsidRPr="005F4728">
        <w:rPr>
          <w:szCs w:val="18"/>
          <w:lang w:val="en-GB"/>
        </w:rPr>
        <w:t xml:space="preserve">Master degree </w:t>
      </w:r>
      <w:r w:rsidR="00ED5F67" w:rsidRPr="005F4728">
        <w:rPr>
          <w:szCs w:val="18"/>
          <w:lang w:val="en-GB"/>
        </w:rPr>
        <w:t xml:space="preserve">programme, </w:t>
      </w:r>
      <w:r w:rsidRPr="005F4728">
        <w:rPr>
          <w:szCs w:val="18"/>
          <w:lang w:val="en-GB"/>
        </w:rPr>
        <w:t xml:space="preserve">you can apply for a grant to spend a period at this partner </w:t>
      </w:r>
      <w:r w:rsidR="00ED5F67" w:rsidRPr="005F4728">
        <w:rPr>
          <w:szCs w:val="18"/>
          <w:lang w:val="en-GB"/>
        </w:rPr>
        <w:t>institution</w:t>
      </w:r>
      <w:r w:rsidRPr="005F4728">
        <w:rPr>
          <w:szCs w:val="18"/>
          <w:lang w:val="en-GB"/>
        </w:rPr>
        <w:t xml:space="preserve"> to deliver teaching or training, or to follow training for career development purposes. </w:t>
      </w:r>
    </w:p>
    <w:p w:rsidR="00A66790" w:rsidRPr="008E23FE" w:rsidRDefault="00FF5FB8" w:rsidP="00E521E0">
      <w:pPr>
        <w:numPr>
          <w:ilvl w:val="1"/>
          <w:numId w:val="8"/>
        </w:numPr>
        <w:spacing w:after="0" w:line="240" w:lineRule="auto"/>
        <w:rPr>
          <w:i/>
          <w:lang w:val="en-GB"/>
        </w:rPr>
      </w:pPr>
      <w:r w:rsidRPr="008E23FE">
        <w:rPr>
          <w:i/>
          <w:lang w:val="en-GB"/>
        </w:rPr>
        <w:t>C</w:t>
      </w:r>
      <w:r w:rsidR="00A66790" w:rsidRPr="008E23FE">
        <w:rPr>
          <w:i/>
          <w:lang w:val="en-GB"/>
        </w:rPr>
        <w:t xml:space="preserve">ontact your </w:t>
      </w:r>
      <w:r w:rsidR="00795FF5" w:rsidRPr="008E23FE">
        <w:rPr>
          <w:i/>
          <w:lang w:val="en-GB"/>
        </w:rPr>
        <w:t xml:space="preserve">institution's </w:t>
      </w:r>
      <w:r w:rsidR="00A66790" w:rsidRPr="008E23FE">
        <w:rPr>
          <w:i/>
          <w:lang w:val="en-GB"/>
        </w:rPr>
        <w:t>international office for more information.</w:t>
      </w:r>
    </w:p>
    <w:p w:rsidR="00A66790" w:rsidRPr="00E521E0" w:rsidRDefault="00A66790" w:rsidP="00E521E0">
      <w:pPr>
        <w:widowControl w:val="0"/>
        <w:spacing w:after="0" w:line="240" w:lineRule="auto"/>
        <w:ind w:right="165"/>
        <w:rPr>
          <w:i/>
          <w:color w:val="262626"/>
          <w:sz w:val="22"/>
          <w:szCs w:val="20"/>
          <w:lang w:val="en-GB"/>
        </w:rPr>
      </w:pPr>
    </w:p>
    <w:p w:rsidR="00001072" w:rsidRPr="00AA1289" w:rsidRDefault="00001072" w:rsidP="00E521E0">
      <w:pPr>
        <w:spacing w:after="0" w:line="240" w:lineRule="auto"/>
        <w:rPr>
          <w:b/>
          <w:bCs/>
          <w:color w:val="1A3F7C"/>
          <w:sz w:val="22"/>
          <w:szCs w:val="18"/>
          <w:lang w:val="nn-NO"/>
        </w:rPr>
      </w:pPr>
      <w:r w:rsidRPr="00AA1289">
        <w:rPr>
          <w:i/>
          <w:color w:val="262626"/>
          <w:sz w:val="22"/>
          <w:szCs w:val="20"/>
          <w:lang w:val="nn-NO"/>
        </w:rPr>
        <w:t>ERASMUS</w:t>
      </w:r>
      <w:r w:rsidR="00060D84" w:rsidRPr="00AA1289">
        <w:rPr>
          <w:i/>
          <w:color w:val="262626"/>
          <w:sz w:val="22"/>
          <w:szCs w:val="20"/>
          <w:lang w:val="nn-NO"/>
        </w:rPr>
        <w:t>+</w:t>
      </w:r>
      <w:r w:rsidR="00AA1289">
        <w:rPr>
          <w:color w:val="7F7F7F"/>
          <w:sz w:val="22"/>
          <w:szCs w:val="20"/>
          <w:lang w:val="nn-NO"/>
        </w:rPr>
        <w:t xml:space="preserve">: </w:t>
      </w:r>
      <w:r w:rsidR="0015032E" w:rsidRPr="00AA1289">
        <w:rPr>
          <w:rStyle w:val="Hiperveza"/>
          <w:b/>
          <w:bCs/>
          <w:sz w:val="24"/>
          <w:szCs w:val="18"/>
          <w:lang w:val="nn-NO"/>
        </w:rPr>
        <w:t>http://ec.europa.eu/dgs/education_culture/index_en.htm</w:t>
      </w:r>
    </w:p>
    <w:p w:rsidR="00742696" w:rsidRPr="00E521E0" w:rsidRDefault="00001072" w:rsidP="00E521E0">
      <w:pPr>
        <w:spacing w:after="0" w:line="240" w:lineRule="auto"/>
        <w:rPr>
          <w:rStyle w:val="Hiperveza"/>
        </w:rPr>
      </w:pPr>
      <w:r w:rsidRPr="00E521E0">
        <w:rPr>
          <w:bCs/>
          <w:i/>
          <w:color w:val="262626"/>
          <w:sz w:val="22"/>
          <w:szCs w:val="20"/>
        </w:rPr>
        <w:t xml:space="preserve">MARIE </w:t>
      </w:r>
      <w:r w:rsidRPr="00E521E0">
        <w:rPr>
          <w:i/>
          <w:caps/>
          <w:color w:val="262626"/>
          <w:sz w:val="22"/>
          <w:szCs w:val="20"/>
        </w:rPr>
        <w:t>Skłodowska-</w:t>
      </w:r>
      <w:r w:rsidRPr="00E521E0">
        <w:rPr>
          <w:bCs/>
          <w:i/>
          <w:color w:val="262626"/>
          <w:sz w:val="22"/>
          <w:szCs w:val="20"/>
        </w:rPr>
        <w:t>CURIE ACTIONS</w:t>
      </w:r>
      <w:r w:rsidRPr="00E521E0">
        <w:rPr>
          <w:color w:val="262626"/>
          <w:sz w:val="22"/>
          <w:szCs w:val="20"/>
        </w:rPr>
        <w:t xml:space="preserve">: </w:t>
      </w:r>
      <w:hyperlink r:id="rId10" w:history="1">
        <w:r w:rsidRPr="00E521E0">
          <w:rPr>
            <w:rStyle w:val="Hiperveza"/>
            <w:b/>
            <w:sz w:val="24"/>
            <w:szCs w:val="18"/>
          </w:rPr>
          <w:t>ec.europa.eu/mariecurieactions</w:t>
        </w:r>
      </w:hyperlink>
    </w:p>
    <w:p w:rsidR="008E23FE" w:rsidRPr="008E23FE" w:rsidRDefault="008E23FE" w:rsidP="00E521E0">
      <w:pPr>
        <w:spacing w:after="0" w:line="240" w:lineRule="auto"/>
        <w:rPr>
          <w:b/>
          <w:color w:val="1A3F7C"/>
          <w:szCs w:val="18"/>
        </w:rPr>
      </w:pPr>
    </w:p>
    <w:p w:rsidR="0077322E" w:rsidRDefault="00DA0B4D" w:rsidP="00E521E0">
      <w:pPr>
        <w:spacing w:after="0" w:line="240" w:lineRule="auto"/>
        <w:rPr>
          <w:i/>
          <w:sz w:val="16"/>
          <w:szCs w:val="20"/>
          <w:lang w:val="en-GB"/>
        </w:rPr>
      </w:pPr>
      <w:r w:rsidRPr="008E23FE">
        <w:rPr>
          <w:i/>
          <w:sz w:val="16"/>
          <w:szCs w:val="20"/>
          <w:lang w:val="en-GB"/>
        </w:rPr>
        <w:t>*Erasmus+ countries</w:t>
      </w:r>
      <w:r w:rsidR="0077322E">
        <w:rPr>
          <w:i/>
          <w:sz w:val="16"/>
          <w:szCs w:val="20"/>
          <w:lang w:val="en-GB"/>
        </w:rPr>
        <w:t xml:space="preserve"> =</w:t>
      </w:r>
      <w:r w:rsidRPr="008E23FE">
        <w:rPr>
          <w:i/>
          <w:sz w:val="16"/>
          <w:szCs w:val="20"/>
          <w:lang w:val="en-GB"/>
        </w:rPr>
        <w:t xml:space="preserve"> the 28 EU countries plus </w:t>
      </w:r>
      <w:r>
        <w:rPr>
          <w:i/>
          <w:sz w:val="16"/>
          <w:szCs w:val="20"/>
          <w:lang w:val="en-GB"/>
        </w:rPr>
        <w:t>other European countries. Check the Call for Proposals for more information.</w:t>
      </w:r>
      <w:r w:rsidR="00E43644">
        <w:rPr>
          <w:i/>
          <w:sz w:val="16"/>
          <w:szCs w:val="20"/>
          <w:lang w:val="en-GB"/>
        </w:rPr>
        <w:t xml:space="preserve"> </w:t>
      </w:r>
    </w:p>
    <w:p w:rsidR="00EF31F3" w:rsidRPr="00E521E0" w:rsidRDefault="00EF31F3" w:rsidP="00E521E0">
      <w:pPr>
        <w:spacing w:after="0" w:line="240" w:lineRule="auto"/>
        <w:rPr>
          <w:i/>
          <w:sz w:val="16"/>
          <w:szCs w:val="20"/>
          <w:lang w:val="en-GB"/>
        </w:rPr>
      </w:pPr>
      <w:r w:rsidRPr="00E521E0">
        <w:rPr>
          <w:i/>
          <w:sz w:val="16"/>
          <w:szCs w:val="20"/>
          <w:lang w:val="en-GB"/>
        </w:rPr>
        <w:t xml:space="preserve">The </w:t>
      </w:r>
      <w:r w:rsidRPr="008E23FE">
        <w:rPr>
          <w:i/>
          <w:sz w:val="16"/>
          <w:szCs w:val="20"/>
          <w:lang w:val="en-GB"/>
        </w:rPr>
        <w:t>architecture</w:t>
      </w:r>
      <w:r w:rsidRPr="00E521E0">
        <w:rPr>
          <w:i/>
          <w:sz w:val="16"/>
          <w:szCs w:val="20"/>
          <w:lang w:val="en-GB"/>
        </w:rPr>
        <w:t xml:space="preserve"> of the new programmes will be finalised in the legal texts on</w:t>
      </w:r>
      <w:r w:rsidRPr="008E23FE">
        <w:rPr>
          <w:i/>
          <w:sz w:val="16"/>
          <w:szCs w:val="20"/>
          <w:lang w:val="en-GB"/>
        </w:rPr>
        <w:t xml:space="preserve"> </w:t>
      </w:r>
      <w:r w:rsidRPr="00E521E0">
        <w:rPr>
          <w:i/>
          <w:sz w:val="16"/>
          <w:szCs w:val="20"/>
          <w:lang w:val="en-GB"/>
        </w:rPr>
        <w:t xml:space="preserve">the programme to be published in the </w:t>
      </w:r>
      <w:r w:rsidR="00A52EC7">
        <w:rPr>
          <w:i/>
          <w:sz w:val="16"/>
          <w:szCs w:val="20"/>
          <w:lang w:val="en-GB"/>
        </w:rPr>
        <w:t>fourth quarter of</w:t>
      </w:r>
      <w:r w:rsidRPr="00E521E0">
        <w:rPr>
          <w:i/>
          <w:sz w:val="16"/>
          <w:szCs w:val="20"/>
          <w:lang w:val="en-GB"/>
        </w:rPr>
        <w:t xml:space="preserve"> 2013.</w:t>
      </w:r>
      <w:r w:rsidR="00DA0B4D">
        <w:rPr>
          <w:i/>
          <w:sz w:val="16"/>
          <w:szCs w:val="20"/>
          <w:lang w:val="en-GB"/>
        </w:rPr>
        <w:t xml:space="preserve"> </w:t>
      </w:r>
    </w:p>
    <w:sectPr w:rsidR="00EF31F3" w:rsidRPr="00E521E0" w:rsidSect="0077322E">
      <w:footerReference w:type="default" r:id="rId11"/>
      <w:type w:val="continuous"/>
      <w:pgSz w:w="11906" w:h="16838"/>
      <w:pgMar w:top="993" w:right="907" w:bottom="568" w:left="907" w:header="567"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4D" w:rsidRDefault="00192B4D" w:rsidP="00001072">
      <w:pPr>
        <w:spacing w:after="0" w:line="240" w:lineRule="auto"/>
      </w:pPr>
      <w:r>
        <w:separator/>
      </w:r>
    </w:p>
  </w:endnote>
  <w:endnote w:type="continuationSeparator" w:id="0">
    <w:p w:rsidR="00192B4D" w:rsidRDefault="00192B4D" w:rsidP="0000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B48" w:rsidRPr="00E521E0" w:rsidRDefault="00A24B48" w:rsidP="00E521E0">
    <w:pPr>
      <w:pStyle w:val="Podnoj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4D" w:rsidRDefault="00192B4D" w:rsidP="00001072">
      <w:pPr>
        <w:spacing w:after="0" w:line="240" w:lineRule="auto"/>
      </w:pPr>
      <w:r>
        <w:separator/>
      </w:r>
    </w:p>
  </w:footnote>
  <w:footnote w:type="continuationSeparator" w:id="0">
    <w:p w:rsidR="00192B4D" w:rsidRDefault="00192B4D" w:rsidP="00001072">
      <w:pPr>
        <w:spacing w:after="0" w:line="240" w:lineRule="auto"/>
      </w:pPr>
      <w:r>
        <w:continuationSeparator/>
      </w:r>
    </w:p>
  </w:footnote>
  <w:footnote w:id="1">
    <w:p w:rsidR="00E34263" w:rsidRPr="00E34263" w:rsidRDefault="00E34263">
      <w:pPr>
        <w:pStyle w:val="Tekstfusnote"/>
        <w:rPr>
          <w:sz w:val="16"/>
          <w:szCs w:val="16"/>
          <w:lang w:val="de-DE"/>
        </w:rPr>
      </w:pPr>
      <w:r w:rsidRPr="00E34263">
        <w:rPr>
          <w:rStyle w:val="Referencafusnote"/>
          <w:sz w:val="16"/>
          <w:szCs w:val="16"/>
        </w:rPr>
        <w:footnoteRef/>
      </w:r>
      <w:r w:rsidRPr="00E34263">
        <w:rPr>
          <w:sz w:val="16"/>
          <w:szCs w:val="16"/>
        </w:rPr>
        <w:t xml:space="preserve"> </w:t>
      </w:r>
      <w:r w:rsidRPr="00E34263">
        <w:rPr>
          <w:sz w:val="16"/>
          <w:szCs w:val="16"/>
          <w:lang w:val="de-DE"/>
        </w:rPr>
        <w:t xml:space="preserve"> see Erasmus+ „What’s in it for higher education“ leaflet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73D88"/>
    <w:multiLevelType w:val="hybridMultilevel"/>
    <w:tmpl w:val="DC36AA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259E3"/>
    <w:multiLevelType w:val="hybridMultilevel"/>
    <w:tmpl w:val="3A788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24A69"/>
    <w:multiLevelType w:val="hybridMultilevel"/>
    <w:tmpl w:val="BD1425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55363"/>
    <w:multiLevelType w:val="hybridMultilevel"/>
    <w:tmpl w:val="5C3A9FF8"/>
    <w:lvl w:ilvl="0" w:tplc="08090001">
      <w:start w:val="1"/>
      <w:numFmt w:val="bullet"/>
      <w:lvlText w:val=""/>
      <w:lvlJc w:val="left"/>
      <w:pPr>
        <w:ind w:left="720" w:hanging="360"/>
      </w:pPr>
      <w:rPr>
        <w:rFonts w:ascii="Symbol" w:hAnsi="Symbol" w:hint="default"/>
      </w:rPr>
    </w:lvl>
    <w:lvl w:ilvl="1" w:tplc="8C9A7098">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C1828"/>
    <w:multiLevelType w:val="hybridMultilevel"/>
    <w:tmpl w:val="B1AE0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26944"/>
    <w:multiLevelType w:val="hybridMultilevel"/>
    <w:tmpl w:val="62BC42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2A8042C"/>
    <w:multiLevelType w:val="singleLevel"/>
    <w:tmpl w:val="3CB69690"/>
    <w:name w:val="0,2952479"/>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7" w15:restartNumberingAfterBreak="0">
    <w:nsid w:val="65B404E5"/>
    <w:multiLevelType w:val="hybridMultilevel"/>
    <w:tmpl w:val="0526C28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76F67E61"/>
    <w:multiLevelType w:val="hybridMultilevel"/>
    <w:tmpl w:val="3CEEFFAE"/>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790A49A0"/>
    <w:multiLevelType w:val="hybridMultilevel"/>
    <w:tmpl w:val="86FABF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056D4"/>
    <w:multiLevelType w:val="hybridMultilevel"/>
    <w:tmpl w:val="B8CAC3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10"/>
  </w:num>
  <w:num w:numId="6">
    <w:abstractNumId w:val="9"/>
  </w:num>
  <w:num w:numId="7">
    <w:abstractNumId w:val="5"/>
  </w:num>
  <w:num w:numId="8">
    <w:abstractNumId w:val="3"/>
  </w:num>
  <w:num w:numId="9">
    <w:abstractNumId w:val="1"/>
  </w:num>
  <w:num w:numId="10">
    <w:abstractNumId w:val="6"/>
  </w:num>
  <w:num w:numId="11">
    <w:abstractNumId w:val="7"/>
  </w:num>
  <w:num w:numId="12">
    <w:abstractNumId w:val="6"/>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o:colormru v:ext="edit" colors="#f7c9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01072"/>
    <w:rsid w:val="00001072"/>
    <w:rsid w:val="00002BC4"/>
    <w:rsid w:val="000034E5"/>
    <w:rsid w:val="000306C1"/>
    <w:rsid w:val="00060D84"/>
    <w:rsid w:val="00065544"/>
    <w:rsid w:val="00076CE4"/>
    <w:rsid w:val="00081FB5"/>
    <w:rsid w:val="0008441E"/>
    <w:rsid w:val="000A5054"/>
    <w:rsid w:val="000A75B9"/>
    <w:rsid w:val="000B1C2A"/>
    <w:rsid w:val="000B3BD4"/>
    <w:rsid w:val="000C6337"/>
    <w:rsid w:val="000D0E35"/>
    <w:rsid w:val="000E77A5"/>
    <w:rsid w:val="00105E73"/>
    <w:rsid w:val="0015032E"/>
    <w:rsid w:val="001535C1"/>
    <w:rsid w:val="001867E4"/>
    <w:rsid w:val="00192B4D"/>
    <w:rsid w:val="001A5021"/>
    <w:rsid w:val="001B3104"/>
    <w:rsid w:val="001B3DF3"/>
    <w:rsid w:val="001C0CA4"/>
    <w:rsid w:val="001E546E"/>
    <w:rsid w:val="001F782E"/>
    <w:rsid w:val="001F7BED"/>
    <w:rsid w:val="00206952"/>
    <w:rsid w:val="00232DB0"/>
    <w:rsid w:val="0026450A"/>
    <w:rsid w:val="002A4BBC"/>
    <w:rsid w:val="002C40AC"/>
    <w:rsid w:val="002F32AE"/>
    <w:rsid w:val="00310B17"/>
    <w:rsid w:val="00312D99"/>
    <w:rsid w:val="00340085"/>
    <w:rsid w:val="00387BF0"/>
    <w:rsid w:val="00393512"/>
    <w:rsid w:val="003B55CA"/>
    <w:rsid w:val="00416EA1"/>
    <w:rsid w:val="00446B83"/>
    <w:rsid w:val="00446F17"/>
    <w:rsid w:val="00456887"/>
    <w:rsid w:val="00476105"/>
    <w:rsid w:val="00484AC1"/>
    <w:rsid w:val="004906BF"/>
    <w:rsid w:val="004B4E33"/>
    <w:rsid w:val="004C5A9D"/>
    <w:rsid w:val="004D4146"/>
    <w:rsid w:val="004F04BB"/>
    <w:rsid w:val="00511A6C"/>
    <w:rsid w:val="00515169"/>
    <w:rsid w:val="005264A3"/>
    <w:rsid w:val="00532511"/>
    <w:rsid w:val="00537DE4"/>
    <w:rsid w:val="005479B4"/>
    <w:rsid w:val="005503BB"/>
    <w:rsid w:val="00572299"/>
    <w:rsid w:val="005A3E56"/>
    <w:rsid w:val="005A4BF5"/>
    <w:rsid w:val="005C172D"/>
    <w:rsid w:val="005C3399"/>
    <w:rsid w:val="005F320D"/>
    <w:rsid w:val="005F4728"/>
    <w:rsid w:val="00602068"/>
    <w:rsid w:val="00721415"/>
    <w:rsid w:val="00742696"/>
    <w:rsid w:val="00750169"/>
    <w:rsid w:val="00756118"/>
    <w:rsid w:val="0077322E"/>
    <w:rsid w:val="00773EAF"/>
    <w:rsid w:val="00795FF5"/>
    <w:rsid w:val="00812718"/>
    <w:rsid w:val="00812E05"/>
    <w:rsid w:val="008275F2"/>
    <w:rsid w:val="008828F5"/>
    <w:rsid w:val="0088695A"/>
    <w:rsid w:val="008C5B1D"/>
    <w:rsid w:val="008E23FE"/>
    <w:rsid w:val="00901106"/>
    <w:rsid w:val="009213A1"/>
    <w:rsid w:val="00921CA5"/>
    <w:rsid w:val="00935E03"/>
    <w:rsid w:val="00955AFC"/>
    <w:rsid w:val="00980409"/>
    <w:rsid w:val="009851D3"/>
    <w:rsid w:val="00997EBB"/>
    <w:rsid w:val="009B5DC5"/>
    <w:rsid w:val="009F0683"/>
    <w:rsid w:val="009F50FB"/>
    <w:rsid w:val="00A161A8"/>
    <w:rsid w:val="00A24B48"/>
    <w:rsid w:val="00A41956"/>
    <w:rsid w:val="00A52EC7"/>
    <w:rsid w:val="00A66790"/>
    <w:rsid w:val="00A91171"/>
    <w:rsid w:val="00AA1289"/>
    <w:rsid w:val="00AE295E"/>
    <w:rsid w:val="00B03B98"/>
    <w:rsid w:val="00B27A1F"/>
    <w:rsid w:val="00B403B0"/>
    <w:rsid w:val="00B727BB"/>
    <w:rsid w:val="00B801A6"/>
    <w:rsid w:val="00B81301"/>
    <w:rsid w:val="00B93CA4"/>
    <w:rsid w:val="00B9559B"/>
    <w:rsid w:val="00BB2A33"/>
    <w:rsid w:val="00BD577E"/>
    <w:rsid w:val="00C25D11"/>
    <w:rsid w:val="00C30E46"/>
    <w:rsid w:val="00C433A9"/>
    <w:rsid w:val="00C855D9"/>
    <w:rsid w:val="00CB5D03"/>
    <w:rsid w:val="00CC1CDF"/>
    <w:rsid w:val="00CC7C63"/>
    <w:rsid w:val="00CE065C"/>
    <w:rsid w:val="00CE768D"/>
    <w:rsid w:val="00D0065F"/>
    <w:rsid w:val="00D056A3"/>
    <w:rsid w:val="00D47480"/>
    <w:rsid w:val="00D5745D"/>
    <w:rsid w:val="00D82561"/>
    <w:rsid w:val="00D86062"/>
    <w:rsid w:val="00DA0B4D"/>
    <w:rsid w:val="00DA548F"/>
    <w:rsid w:val="00DD6F1B"/>
    <w:rsid w:val="00E04AD6"/>
    <w:rsid w:val="00E34263"/>
    <w:rsid w:val="00E42EAE"/>
    <w:rsid w:val="00E43644"/>
    <w:rsid w:val="00E52175"/>
    <w:rsid w:val="00E521E0"/>
    <w:rsid w:val="00E54865"/>
    <w:rsid w:val="00E8290E"/>
    <w:rsid w:val="00E84578"/>
    <w:rsid w:val="00E9046D"/>
    <w:rsid w:val="00EA03B5"/>
    <w:rsid w:val="00EA13D0"/>
    <w:rsid w:val="00EA1EDA"/>
    <w:rsid w:val="00EA7422"/>
    <w:rsid w:val="00EC0F15"/>
    <w:rsid w:val="00ED5F67"/>
    <w:rsid w:val="00EF31F3"/>
    <w:rsid w:val="00EF42DD"/>
    <w:rsid w:val="00EF4CB7"/>
    <w:rsid w:val="00F00785"/>
    <w:rsid w:val="00F21C2A"/>
    <w:rsid w:val="00F22D99"/>
    <w:rsid w:val="00F27C56"/>
    <w:rsid w:val="00F33626"/>
    <w:rsid w:val="00FF5871"/>
    <w:rsid w:val="00FF5FB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7c943"/>
    </o:shapedefaults>
    <o:shapelayout v:ext="edit">
      <o:idmap v:ext="edit" data="1"/>
    </o:shapelayout>
  </w:shapeDefaults>
  <w:decimalSymbol w:val=","/>
  <w:listSeparator w:val=";"/>
  <w15:docId w15:val="{2A469ECE-7751-4693-9C4D-B991208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072"/>
    <w:pPr>
      <w:spacing w:after="200" w:line="276" w:lineRule="auto"/>
    </w:pPr>
    <w:rPr>
      <w:rFonts w:ascii="Verdana" w:hAnsi="Verdana"/>
      <w:sz w:val="18"/>
      <w:szCs w:val="22"/>
      <w:lang w:val="fr-B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01072"/>
    <w:pPr>
      <w:tabs>
        <w:tab w:val="center" w:pos="4536"/>
        <w:tab w:val="right" w:pos="9072"/>
      </w:tabs>
    </w:pPr>
  </w:style>
  <w:style w:type="character" w:customStyle="1" w:styleId="ZaglavljeChar">
    <w:name w:val="Zaglavlje Char"/>
    <w:link w:val="Zaglavlje"/>
    <w:uiPriority w:val="99"/>
    <w:rsid w:val="00001072"/>
    <w:rPr>
      <w:sz w:val="22"/>
      <w:szCs w:val="22"/>
      <w:lang w:val="fr-BE" w:eastAsia="en-US"/>
    </w:rPr>
  </w:style>
  <w:style w:type="paragraph" w:styleId="Podnoje">
    <w:name w:val="footer"/>
    <w:basedOn w:val="Normal"/>
    <w:link w:val="PodnojeChar"/>
    <w:uiPriority w:val="99"/>
    <w:unhideWhenUsed/>
    <w:rsid w:val="00001072"/>
    <w:pPr>
      <w:tabs>
        <w:tab w:val="center" w:pos="4536"/>
        <w:tab w:val="right" w:pos="9072"/>
      </w:tabs>
    </w:pPr>
  </w:style>
  <w:style w:type="character" w:customStyle="1" w:styleId="PodnojeChar">
    <w:name w:val="Podnožje Char"/>
    <w:link w:val="Podnoje"/>
    <w:uiPriority w:val="99"/>
    <w:rsid w:val="00001072"/>
    <w:rPr>
      <w:sz w:val="22"/>
      <w:szCs w:val="22"/>
      <w:lang w:val="fr-BE" w:eastAsia="en-US"/>
    </w:rPr>
  </w:style>
  <w:style w:type="character" w:styleId="Hiperveza">
    <w:name w:val="Hyperlink"/>
    <w:rsid w:val="00001072"/>
    <w:rPr>
      <w:rFonts w:ascii="Verdana" w:hAnsi="Verdana"/>
      <w:color w:val="1A3F7C"/>
      <w:sz w:val="20"/>
      <w:u w:val="none"/>
    </w:rPr>
  </w:style>
  <w:style w:type="character" w:styleId="Referencakomentara">
    <w:name w:val="annotation reference"/>
    <w:rsid w:val="00001072"/>
    <w:rPr>
      <w:sz w:val="16"/>
      <w:szCs w:val="16"/>
    </w:rPr>
  </w:style>
  <w:style w:type="paragraph" w:styleId="Tekstkomentara">
    <w:name w:val="annotation text"/>
    <w:basedOn w:val="Normal"/>
    <w:link w:val="TekstkomentaraChar"/>
    <w:rsid w:val="00001072"/>
    <w:pPr>
      <w:spacing w:after="0" w:line="240" w:lineRule="auto"/>
      <w:jc w:val="both"/>
    </w:pPr>
    <w:rPr>
      <w:rFonts w:eastAsia="Times New Roman"/>
      <w:color w:val="333333"/>
      <w:szCs w:val="20"/>
      <w:lang w:val="en-GB" w:eastAsia="en-GB"/>
    </w:rPr>
  </w:style>
  <w:style w:type="character" w:customStyle="1" w:styleId="TekstkomentaraChar">
    <w:name w:val="Tekst komentara Char"/>
    <w:link w:val="Tekstkomentara"/>
    <w:rsid w:val="00001072"/>
    <w:rPr>
      <w:rFonts w:ascii="Verdana" w:eastAsia="Times New Roman" w:hAnsi="Verdana"/>
      <w:color w:val="333333"/>
      <w:sz w:val="18"/>
    </w:rPr>
  </w:style>
  <w:style w:type="paragraph" w:styleId="Tekstbalonia">
    <w:name w:val="Balloon Text"/>
    <w:basedOn w:val="Normal"/>
    <w:link w:val="TekstbaloniaChar"/>
    <w:uiPriority w:val="99"/>
    <w:semiHidden/>
    <w:unhideWhenUsed/>
    <w:rsid w:val="00001072"/>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001072"/>
    <w:rPr>
      <w:rFonts w:ascii="Tahoma" w:hAnsi="Tahoma" w:cs="Tahoma"/>
      <w:sz w:val="16"/>
      <w:szCs w:val="16"/>
      <w:lang w:val="fr-BE" w:eastAsia="en-US"/>
    </w:rPr>
  </w:style>
  <w:style w:type="paragraph" w:styleId="Predmetkomentara">
    <w:name w:val="annotation subject"/>
    <w:basedOn w:val="Tekstkomentara"/>
    <w:next w:val="Tekstkomentara"/>
    <w:link w:val="PredmetkomentaraChar"/>
    <w:uiPriority w:val="99"/>
    <w:semiHidden/>
    <w:unhideWhenUsed/>
    <w:rsid w:val="00FF5FB8"/>
    <w:pPr>
      <w:spacing w:after="200" w:line="276" w:lineRule="auto"/>
      <w:jc w:val="left"/>
    </w:pPr>
    <w:rPr>
      <w:rFonts w:eastAsia="Calibri"/>
      <w:b/>
      <w:bCs/>
      <w:color w:val="auto"/>
      <w:sz w:val="20"/>
      <w:lang w:val="fr-BE" w:eastAsia="en-US"/>
    </w:rPr>
  </w:style>
  <w:style w:type="character" w:customStyle="1" w:styleId="PredmetkomentaraChar">
    <w:name w:val="Predmet komentara Char"/>
    <w:link w:val="Predmetkomentara"/>
    <w:uiPriority w:val="99"/>
    <w:semiHidden/>
    <w:rsid w:val="00FF5FB8"/>
    <w:rPr>
      <w:rFonts w:ascii="Verdana" w:eastAsia="Times New Roman" w:hAnsi="Verdana"/>
      <w:b/>
      <w:bCs/>
      <w:color w:val="333333"/>
      <w:sz w:val="18"/>
      <w:lang w:val="fr-BE" w:eastAsia="en-US"/>
    </w:rPr>
  </w:style>
  <w:style w:type="character" w:styleId="Naglaeno">
    <w:name w:val="Strong"/>
    <w:uiPriority w:val="22"/>
    <w:qFormat/>
    <w:rsid w:val="00ED5F67"/>
    <w:rPr>
      <w:b/>
      <w:bCs/>
    </w:rPr>
  </w:style>
  <w:style w:type="table" w:styleId="Reetkatablice">
    <w:name w:val="Table Grid"/>
    <w:basedOn w:val="Obinatablica"/>
    <w:uiPriority w:val="59"/>
    <w:rsid w:val="00105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1">
    <w:name w:val="List Dash 1"/>
    <w:basedOn w:val="Normal"/>
    <w:rsid w:val="0008441E"/>
    <w:pPr>
      <w:numPr>
        <w:numId w:val="10"/>
      </w:numPr>
      <w:spacing w:before="120" w:after="120" w:line="240" w:lineRule="auto"/>
      <w:jc w:val="both"/>
    </w:pPr>
    <w:rPr>
      <w:rFonts w:ascii="Times New Roman" w:eastAsia="Times New Roman" w:hAnsi="Times New Roman"/>
      <w:sz w:val="24"/>
      <w:szCs w:val="24"/>
      <w:lang w:val="en-GB" w:eastAsia="de-DE"/>
    </w:rPr>
  </w:style>
  <w:style w:type="paragraph" w:styleId="StandardWeb">
    <w:name w:val="Normal (Web)"/>
    <w:basedOn w:val="Normal"/>
    <w:uiPriority w:val="99"/>
    <w:rsid w:val="0008441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ekstfusnote">
    <w:name w:val="footnote text"/>
    <w:basedOn w:val="Normal"/>
    <w:link w:val="TekstfusnoteChar"/>
    <w:uiPriority w:val="99"/>
    <w:semiHidden/>
    <w:unhideWhenUsed/>
    <w:rsid w:val="00E3426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34263"/>
    <w:rPr>
      <w:rFonts w:ascii="Verdana" w:hAnsi="Verdana"/>
      <w:lang w:val="fr-BE" w:eastAsia="en-US"/>
    </w:rPr>
  </w:style>
  <w:style w:type="character" w:styleId="Referencafusnote">
    <w:name w:val="footnote reference"/>
    <w:basedOn w:val="Zadanifontodlomka"/>
    <w:uiPriority w:val="99"/>
    <w:semiHidden/>
    <w:unhideWhenUsed/>
    <w:rsid w:val="00E34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30184">
      <w:bodyDiv w:val="1"/>
      <w:marLeft w:val="0"/>
      <w:marRight w:val="0"/>
      <w:marTop w:val="0"/>
      <w:marBottom w:val="0"/>
      <w:divBdr>
        <w:top w:val="none" w:sz="0" w:space="0" w:color="auto"/>
        <w:left w:val="none" w:sz="0" w:space="0" w:color="auto"/>
        <w:bottom w:val="none" w:sz="0" w:space="0" w:color="auto"/>
        <w:right w:val="none" w:sz="0" w:space="0" w:color="auto"/>
      </w:divBdr>
    </w:div>
    <w:div w:id="13464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mariecurieaction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25D1-3493-47C3-99A3-49A8C427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5911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6934</CharactersWithSpaces>
  <SharedDoc>false</SharedDoc>
  <HLinks>
    <vt:vector size="12" baseType="variant">
      <vt:variant>
        <vt:i4>4784202</vt:i4>
      </vt:variant>
      <vt:variant>
        <vt:i4>3</vt:i4>
      </vt:variant>
      <vt:variant>
        <vt:i4>0</vt:i4>
      </vt:variant>
      <vt:variant>
        <vt:i4>5</vt:i4>
      </vt:variant>
      <vt:variant>
        <vt:lpwstr>http://ec.europa.eu/mariecurieactions</vt:lpwstr>
      </vt:variant>
      <vt:variant>
        <vt:lpwstr/>
      </vt:variant>
      <vt:variant>
        <vt:i4>327785</vt:i4>
      </vt:variant>
      <vt:variant>
        <vt:i4>0</vt:i4>
      </vt:variant>
      <vt:variant>
        <vt:i4>0</vt:i4>
      </vt:variant>
      <vt:variant>
        <vt:i4>5</vt:i4>
      </vt:variant>
      <vt:variant>
        <vt:lpwstr>http://ec.europa.eu/education/erasmus-for-all/index_en.htm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ANDERLIN Valerie (EAC)</dc:creator>
  <cp:lastModifiedBy>Korisnik</cp:lastModifiedBy>
  <cp:revision>2</cp:revision>
  <cp:lastPrinted>2013-09-10T07:51:00Z</cp:lastPrinted>
  <dcterms:created xsi:type="dcterms:W3CDTF">2020-06-17T11:47:00Z</dcterms:created>
  <dcterms:modified xsi:type="dcterms:W3CDTF">2020-06-17T11:47:00Z</dcterms:modified>
</cp:coreProperties>
</file>